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31" w:rsidRDefault="00EF49C2">
      <w:pPr>
        <w:rPr>
          <w:color w:val="000000"/>
          <w:sz w:val="23"/>
          <w:szCs w:val="23"/>
          <w:shd w:val="clear" w:color="auto" w:fill="FFFFFF"/>
        </w:rPr>
      </w:pPr>
      <w:bookmarkStart w:id="0" w:name="_GoBack"/>
      <w:r>
        <w:rPr>
          <w:color w:val="000000"/>
          <w:sz w:val="23"/>
          <w:szCs w:val="23"/>
          <w:shd w:val="clear" w:color="auto" w:fill="FFFFFF"/>
        </w:rPr>
        <w:t>補習及進修教育法</w:t>
      </w:r>
      <w:bookmarkEnd w:id="0"/>
    </w:p>
    <w:p w:rsidR="00EF49C2" w:rsidRDefault="00EF49C2">
      <w:pPr>
        <w:rPr>
          <w:color w:val="000000"/>
          <w:sz w:val="23"/>
          <w:szCs w:val="23"/>
          <w:shd w:val="clear" w:color="auto" w:fill="FFFFFF"/>
        </w:rPr>
      </w:pPr>
      <w:r>
        <w:rPr>
          <w:rFonts w:hint="eastAsia"/>
          <w:color w:val="000000"/>
          <w:sz w:val="23"/>
          <w:szCs w:val="23"/>
          <w:shd w:val="clear" w:color="auto" w:fill="FFFFFF"/>
        </w:rPr>
        <w:t xml:space="preserve">                                                </w:t>
      </w:r>
      <w:r>
        <w:rPr>
          <w:color w:val="000000"/>
          <w:sz w:val="23"/>
          <w:szCs w:val="23"/>
          <w:shd w:val="clear" w:color="auto" w:fill="FFFFFF"/>
        </w:rPr>
        <w:t>民國</w:t>
      </w:r>
      <w:r>
        <w:rPr>
          <w:color w:val="000000"/>
          <w:sz w:val="23"/>
          <w:szCs w:val="23"/>
          <w:shd w:val="clear" w:color="auto" w:fill="FFFFFF"/>
        </w:rPr>
        <w:t>106</w:t>
      </w:r>
      <w:r>
        <w:rPr>
          <w:color w:val="000000"/>
          <w:sz w:val="23"/>
          <w:szCs w:val="23"/>
          <w:shd w:val="clear" w:color="auto" w:fill="FFFFFF"/>
        </w:rPr>
        <w:t>年</w:t>
      </w:r>
      <w:r>
        <w:rPr>
          <w:color w:val="000000"/>
          <w:sz w:val="23"/>
          <w:szCs w:val="23"/>
          <w:shd w:val="clear" w:color="auto" w:fill="FFFFFF"/>
        </w:rPr>
        <w:t>06</w:t>
      </w:r>
      <w:r>
        <w:rPr>
          <w:color w:val="000000"/>
          <w:sz w:val="23"/>
          <w:szCs w:val="23"/>
          <w:shd w:val="clear" w:color="auto" w:fill="FFFFFF"/>
        </w:rPr>
        <w:t>月</w:t>
      </w:r>
      <w:r>
        <w:rPr>
          <w:color w:val="000000"/>
          <w:sz w:val="23"/>
          <w:szCs w:val="23"/>
          <w:shd w:val="clear" w:color="auto" w:fill="FFFFFF"/>
        </w:rPr>
        <w:t>14</w:t>
      </w:r>
      <w:r>
        <w:rPr>
          <w:color w:val="000000"/>
          <w:sz w:val="23"/>
          <w:szCs w:val="23"/>
          <w:shd w:val="clear" w:color="auto" w:fill="FFFFFF"/>
        </w:rPr>
        <w:t>日</w:t>
      </w:r>
    </w:p>
    <w:tbl>
      <w:tblPr>
        <w:tblW w:w="4633" w:type="pct"/>
        <w:shd w:val="clear" w:color="auto" w:fill="FFFFFF"/>
        <w:tblCellMar>
          <w:top w:w="45" w:type="dxa"/>
          <w:left w:w="45" w:type="dxa"/>
          <w:bottom w:w="45" w:type="dxa"/>
          <w:right w:w="45" w:type="dxa"/>
        </w:tblCellMar>
        <w:tblLook w:val="04A0" w:firstRow="1" w:lastRow="0" w:firstColumn="1" w:lastColumn="0" w:noHBand="0" w:noVBand="1"/>
      </w:tblPr>
      <w:tblGrid>
        <w:gridCol w:w="1070"/>
        <w:gridCol w:w="284"/>
        <w:gridCol w:w="7577"/>
      </w:tblGrid>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4" w:history="1">
              <w:r w:rsidRPr="00EF49C2">
                <w:rPr>
                  <w:rFonts w:ascii="細明體" w:eastAsia="細明體" w:hAnsi="細明體" w:cs="新細明體" w:hint="eastAsia"/>
                  <w:color w:val="3366FF"/>
                  <w:kern w:val="0"/>
                  <w:sz w:val="23"/>
                  <w:szCs w:val="23"/>
                  <w:u w:val="single"/>
                  <w:bdr w:val="none" w:sz="0" w:space="0" w:color="auto" w:frame="1"/>
                </w:rPr>
                <w:t>第 1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補習及進修教育，以補充國民生活知識，提高教育程度，傳授實用技藝，</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培養健全公民，促進社會進步為目的。</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r w:rsidRPr="00EF49C2">
              <w:rPr>
                <w:rFonts w:ascii="細明體" w:eastAsia="細明體" w:hAnsi="細明體" w:cs="新細明體"/>
                <w:color w:val="000000"/>
                <w:kern w:val="0"/>
                <w:sz w:val="23"/>
                <w:szCs w:val="23"/>
              </w:rPr>
              <w:fldChar w:fldCharType="begin"/>
            </w:r>
            <w:r w:rsidRPr="00EF49C2">
              <w:rPr>
                <w:rFonts w:ascii="細明體" w:eastAsia="細明體" w:hAnsi="細明體" w:cs="新細明體"/>
                <w:color w:val="000000"/>
                <w:kern w:val="0"/>
                <w:sz w:val="23"/>
                <w:szCs w:val="23"/>
              </w:rPr>
              <w:instrText xml:space="preserve"> HYPERLINK "http://law.moj.gov.tw/LawClass/LawSingle.aspx?Pcode=H0080002&amp;FLNO=2" </w:instrText>
            </w:r>
            <w:r w:rsidRPr="00EF49C2">
              <w:rPr>
                <w:rFonts w:ascii="細明體" w:eastAsia="細明體" w:hAnsi="細明體" w:cs="新細明體"/>
                <w:color w:val="000000"/>
                <w:kern w:val="0"/>
                <w:sz w:val="23"/>
                <w:szCs w:val="23"/>
              </w:rPr>
              <w:fldChar w:fldCharType="separate"/>
            </w:r>
            <w:r w:rsidRPr="00EF49C2">
              <w:rPr>
                <w:rFonts w:ascii="細明體" w:eastAsia="細明體" w:hAnsi="細明體" w:cs="新細明體" w:hint="eastAsia"/>
                <w:color w:val="3366FF"/>
                <w:kern w:val="0"/>
                <w:sz w:val="23"/>
                <w:szCs w:val="23"/>
                <w:u w:val="single"/>
                <w:bdr w:val="none" w:sz="0" w:space="0" w:color="auto" w:frame="1"/>
              </w:rPr>
              <w:t>第 2 條</w:t>
            </w:r>
            <w:r w:rsidRPr="00EF49C2">
              <w:rPr>
                <w:rFonts w:ascii="細明體" w:eastAsia="細明體" w:hAnsi="細明體" w:cs="新細明體"/>
                <w:color w:val="000000"/>
                <w:kern w:val="0"/>
                <w:sz w:val="23"/>
                <w:szCs w:val="23"/>
              </w:rPr>
              <w:fldChar w:fldCharType="end"/>
            </w:r>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本法所稱主管教育行政機關：在中央為教育部；在直轄市為直轄市政府；</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在縣 (市) 為縣 (市) 政府。</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5" w:history="1">
              <w:r w:rsidRPr="00EF49C2">
                <w:rPr>
                  <w:rFonts w:ascii="細明體" w:eastAsia="細明體" w:hAnsi="細明體" w:cs="新細明體" w:hint="eastAsia"/>
                  <w:color w:val="3366FF"/>
                  <w:kern w:val="0"/>
                  <w:sz w:val="23"/>
                  <w:szCs w:val="23"/>
                  <w:u w:val="single"/>
                  <w:bdr w:val="none" w:sz="0" w:space="0" w:color="auto" w:frame="1"/>
                </w:rPr>
                <w:t>第 3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補習及進修教育區分為國民補習教育、進修教育及短期補習教育三種；凡</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已逾學齡未受九年國民教育之國民，予以國民補習教育；已受九年國民教</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育之國民，得受進修教育；志願增進生活知能之國民，得受短期補習教育</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6" w:history="1">
              <w:r w:rsidRPr="00EF49C2">
                <w:rPr>
                  <w:rFonts w:ascii="細明體" w:eastAsia="細明體" w:hAnsi="細明體" w:cs="新細明體" w:hint="eastAsia"/>
                  <w:color w:val="3366FF"/>
                  <w:kern w:val="0"/>
                  <w:sz w:val="23"/>
                  <w:szCs w:val="23"/>
                  <w:u w:val="single"/>
                  <w:bdr w:val="none" w:sz="0" w:space="0" w:color="auto" w:frame="1"/>
                </w:rPr>
                <w:t>第 4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國民補習教育，由國民小學及國民中學附設國民補習學校實施之。國民小</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學補習</w:t>
            </w:r>
            <w:proofErr w:type="gramStart"/>
            <w:r w:rsidRPr="00EF49C2">
              <w:rPr>
                <w:rFonts w:ascii="細明體" w:eastAsia="細明體" w:hAnsi="細明體" w:cs="細明體" w:hint="eastAsia"/>
                <w:color w:val="000000"/>
                <w:kern w:val="0"/>
                <w:sz w:val="23"/>
                <w:szCs w:val="23"/>
              </w:rPr>
              <w:t>學校分初</w:t>
            </w:r>
            <w:proofErr w:type="gramEnd"/>
            <w:r w:rsidRPr="00EF49C2">
              <w:rPr>
                <w:rFonts w:ascii="細明體" w:eastAsia="細明體" w:hAnsi="細明體" w:cs="細明體" w:hint="eastAsia"/>
                <w:color w:val="000000"/>
                <w:kern w:val="0"/>
                <w:sz w:val="23"/>
                <w:szCs w:val="23"/>
              </w:rPr>
              <w:t>、高級二部，初級部相當於國民小學前三年，修業期限為</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六個月至一年；高級部相當於國民小學後三年，修業年限為一年六個月至</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二年。國民中學補習學校相當於國民中學，修業年限不得少於三年。</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7" w:history="1">
              <w:r w:rsidRPr="00EF49C2">
                <w:rPr>
                  <w:rFonts w:ascii="細明體" w:eastAsia="細明體" w:hAnsi="細明體" w:cs="新細明體" w:hint="eastAsia"/>
                  <w:color w:val="3366FF"/>
                  <w:kern w:val="0"/>
                  <w:sz w:val="23"/>
                  <w:szCs w:val="23"/>
                  <w:u w:val="single"/>
                  <w:bdr w:val="none" w:sz="0" w:space="0" w:color="auto" w:frame="1"/>
                </w:rPr>
                <w:t>第 5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進修教育，由高級中等以上學校依需要附設進修學校實施之。進修學校分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高級中學及職業進修學校、專科進修學校、大學進修學校三級。各級進修</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學校，由同級、同類以上學校附設為限。</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偏遠地區應加強進修學校之設立。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8" w:history="1">
              <w:r w:rsidRPr="00EF49C2">
                <w:rPr>
                  <w:rFonts w:ascii="細明體" w:eastAsia="細明體" w:hAnsi="細明體" w:cs="新細明體" w:hint="eastAsia"/>
                  <w:color w:val="3366FF"/>
                  <w:kern w:val="0"/>
                  <w:sz w:val="23"/>
                  <w:szCs w:val="23"/>
                  <w:u w:val="single"/>
                  <w:bdr w:val="none" w:sz="0" w:space="0" w:color="auto" w:frame="1"/>
                </w:rPr>
                <w:t>第 6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短期補習教育，由學校、機關、團體或私人辦理，分技藝補習班及文理補</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proofErr w:type="gramStart"/>
            <w:r w:rsidRPr="00EF49C2">
              <w:rPr>
                <w:rFonts w:ascii="細明體" w:eastAsia="細明體" w:hAnsi="細明體" w:cs="細明體" w:hint="eastAsia"/>
                <w:color w:val="000000"/>
                <w:kern w:val="0"/>
                <w:sz w:val="23"/>
                <w:szCs w:val="23"/>
              </w:rPr>
              <w:t>習班二類</w:t>
            </w:r>
            <w:proofErr w:type="gramEnd"/>
            <w:r w:rsidRPr="00EF49C2">
              <w:rPr>
                <w:rFonts w:ascii="細明體" w:eastAsia="細明體" w:hAnsi="細明體" w:cs="細明體" w:hint="eastAsia"/>
                <w:color w:val="000000"/>
                <w:kern w:val="0"/>
                <w:sz w:val="23"/>
                <w:szCs w:val="23"/>
              </w:rPr>
              <w:t>；修業期限為一個月至一年六個月。</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9" w:history="1">
              <w:r w:rsidRPr="00EF49C2">
                <w:rPr>
                  <w:rFonts w:ascii="細明體" w:eastAsia="細明體" w:hAnsi="細明體" w:cs="新細明體" w:hint="eastAsia"/>
                  <w:color w:val="3366FF"/>
                  <w:kern w:val="0"/>
                  <w:sz w:val="23"/>
                  <w:szCs w:val="23"/>
                  <w:u w:val="single"/>
                  <w:bdr w:val="none" w:sz="0" w:space="0" w:color="auto" w:frame="1"/>
                </w:rPr>
                <w:t>第 7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國民補習教育、高級中學及職業進修教育，得視需要以在監、</w:t>
            </w:r>
            <w:proofErr w:type="gramStart"/>
            <w:r w:rsidRPr="00EF49C2">
              <w:rPr>
                <w:rFonts w:ascii="細明體" w:eastAsia="細明體" w:hAnsi="細明體" w:cs="細明體" w:hint="eastAsia"/>
                <w:color w:val="000000"/>
                <w:kern w:val="0"/>
                <w:sz w:val="23"/>
                <w:szCs w:val="23"/>
              </w:rPr>
              <w:t>隨營補習</w:t>
            </w:r>
            <w:proofErr w:type="gramEnd"/>
            <w:r w:rsidRPr="00EF49C2">
              <w:rPr>
                <w:rFonts w:ascii="細明體" w:eastAsia="細明體" w:hAnsi="細明體" w:cs="細明體" w:hint="eastAsia"/>
                <w:color w:val="000000"/>
                <w:kern w:val="0"/>
                <w:sz w:val="23"/>
                <w:szCs w:val="23"/>
              </w:rPr>
              <w:t>或</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進修等方式為之；其師資、課程與教材、成績考核、修業期限、學籍管理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、證書之頒發、撤銷、廢止及其他相關事項，由中央主管教育行政機關會</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同相關主管機關訂定辦法實施之。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0" w:history="1">
              <w:r w:rsidRPr="00EF49C2">
                <w:rPr>
                  <w:rFonts w:ascii="細明體" w:eastAsia="細明體" w:hAnsi="細明體" w:cs="新細明體" w:hint="eastAsia"/>
                  <w:color w:val="3366FF"/>
                  <w:kern w:val="0"/>
                  <w:sz w:val="23"/>
                  <w:szCs w:val="23"/>
                  <w:u w:val="single"/>
                  <w:bdr w:val="none" w:sz="0" w:space="0" w:color="auto" w:frame="1"/>
                </w:rPr>
                <w:t>第 8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國民中學畢業未繼續受教育者，得實施部分時間之職業進修教育，至十八</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足歲為止；其實施辦法，由中央主管教育行政機關定之。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1" w:history="1">
              <w:r w:rsidRPr="00EF49C2">
                <w:rPr>
                  <w:rFonts w:ascii="細明體" w:eastAsia="細明體" w:hAnsi="細明體" w:cs="新細明體" w:hint="eastAsia"/>
                  <w:color w:val="3366FF"/>
                  <w:kern w:val="0"/>
                  <w:sz w:val="23"/>
                  <w:szCs w:val="23"/>
                  <w:u w:val="single"/>
                  <w:bdr w:val="none" w:sz="0" w:space="0" w:color="auto" w:frame="1"/>
                </w:rPr>
                <w:t>第 9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國民補習學校、進修學校及短期補習班之設立、變更或停辦，依下列各款</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之規定：</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一、國民小學及國民中學補習學校，由各級主管教育行政機關核准。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二、高級中學及職業進修學校，由各級主管教育行政機關核准。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lastRenderedPageBreak/>
              <w:t>三、專科以上進修學校，由中央主管教育行政機關核准。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四、短期補習班，由直轄市、縣（市）主管教育行政機關核准；其設立、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變更、停辦及立案之條件與程序、名稱、類科與課程、修業</w:t>
            </w:r>
            <w:proofErr w:type="gramStart"/>
            <w:r w:rsidRPr="00EF49C2">
              <w:rPr>
                <w:rFonts w:ascii="細明體" w:eastAsia="細明體" w:hAnsi="細明體" w:cs="細明體" w:hint="eastAsia"/>
                <w:color w:val="000000"/>
                <w:kern w:val="0"/>
                <w:sz w:val="23"/>
                <w:szCs w:val="23"/>
              </w:rPr>
              <w:t>期間、</w:t>
            </w:r>
            <w:proofErr w:type="gramEnd"/>
            <w:r w:rsidRPr="00EF49C2">
              <w:rPr>
                <w:rFonts w:ascii="細明體" w:eastAsia="細明體" w:hAnsi="細明體" w:cs="細明體" w:hint="eastAsia"/>
                <w:color w:val="000000"/>
                <w:kern w:val="0"/>
                <w:sz w:val="23"/>
                <w:szCs w:val="23"/>
              </w:rPr>
              <w:t>設</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備與管理、負責人與教職員工之條件、收費、退費方式、基準、班級</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人數與學生權益之保障、檢查、評鑑、輔導、獎勵、廢止設立之條件</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及其他應遵行事項，由中央主管教育行政機關為準則規定；其相關管</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理規則，並由直轄市、縣（市）主管教育行政機關依上開準則定之。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前項第四款所定學生權益之保障，包括短期補習班應與學生訂定書面契約</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，明定其權利義務關係，其書面契約之格式、內容，中央主管教育行政機</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關應訂定定型化契約範本及其應記載及不得記載事項。</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短期補習班之招生、書面契約及利用其場址、傳播媒體或其他方法所為之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廣告或宣傳，涉及負責人、教職員工姓名時，除立案名稱外，</w:t>
            </w:r>
            <w:proofErr w:type="gramStart"/>
            <w:r w:rsidRPr="00EF49C2">
              <w:rPr>
                <w:rFonts w:ascii="細明體" w:eastAsia="細明體" w:hAnsi="細明體" w:cs="細明體" w:hint="eastAsia"/>
                <w:color w:val="000000"/>
                <w:kern w:val="0"/>
                <w:sz w:val="23"/>
                <w:szCs w:val="23"/>
              </w:rPr>
              <w:t>均應揭露</w:t>
            </w:r>
            <w:proofErr w:type="gramEnd"/>
            <w:r w:rsidRPr="00EF49C2">
              <w:rPr>
                <w:rFonts w:ascii="細明體" w:eastAsia="細明體" w:hAnsi="細明體" w:cs="細明體" w:hint="eastAsia"/>
                <w:color w:val="000000"/>
                <w:kern w:val="0"/>
                <w:sz w:val="23"/>
                <w:szCs w:val="23"/>
              </w:rPr>
              <w:t>其</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真實姓名，且不得有虛偽不實之情形；其負責人、教職員工執行業務及對</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外招生或廣告時，亦同。</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短期補習班擬聘僱教職員工前，應檢具相關名冊、學經歷證件、身分證明</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文件影本，並應附最近三個月內核發之警察刑事紀錄證明書等基本資料，</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陳報直轄市、縣（市）主管教育行政機關核准，聘僱之教職員工為外國人</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者，於第一次申請聘僱許可時應檢附外國人原護照國開具之行為良好證明</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文件；直轄市、縣（市）主管教育行政機關應主動查證並得派員檢查；教</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職員工異動時，亦同。</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直轄市、縣（市）主管教育行政機關得派員攜帶證明文件，進入短期補習</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班檢查其設立之條件與程序、樓層與面積、設施、設備與管理、服務人員</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、課程類科與內容、退費方式與基準、班級人數、學生權益之保障等本法</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及自治法規所定應遵行事項之辦理情形，並令其提供有關資料或證明文件</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，短期補習班不得規避、妨礙或拒絕。</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短期補習班之教職員工，有下列情事之</w:t>
            </w:r>
            <w:proofErr w:type="gramStart"/>
            <w:r w:rsidRPr="00EF49C2">
              <w:rPr>
                <w:rFonts w:ascii="細明體" w:eastAsia="細明體" w:hAnsi="細明體" w:cs="細明體" w:hint="eastAsia"/>
                <w:color w:val="000000"/>
                <w:kern w:val="0"/>
                <w:sz w:val="23"/>
                <w:szCs w:val="23"/>
              </w:rPr>
              <w:t>一</w:t>
            </w:r>
            <w:proofErr w:type="gramEnd"/>
            <w:r w:rsidRPr="00EF49C2">
              <w:rPr>
                <w:rFonts w:ascii="細明體" w:eastAsia="細明體" w:hAnsi="細明體" w:cs="細明體" w:hint="eastAsia"/>
                <w:color w:val="000000"/>
                <w:kern w:val="0"/>
                <w:sz w:val="23"/>
                <w:szCs w:val="23"/>
              </w:rPr>
              <w:t>者，應予解聘或解僱：</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一、有性侵害、性騷擾、性剝削，經判刑確定或通緝有案尚未結案。</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二、有性侵害行為，或有情節重大之性騷擾、</w:t>
            </w:r>
            <w:proofErr w:type="gramStart"/>
            <w:r w:rsidRPr="00EF49C2">
              <w:rPr>
                <w:rFonts w:ascii="細明體" w:eastAsia="細明體" w:hAnsi="細明體" w:cs="細明體" w:hint="eastAsia"/>
                <w:color w:val="000000"/>
                <w:kern w:val="0"/>
                <w:sz w:val="23"/>
                <w:szCs w:val="23"/>
              </w:rPr>
              <w:t>性霸凌、</w:t>
            </w:r>
            <w:proofErr w:type="gramEnd"/>
            <w:r w:rsidRPr="00EF49C2">
              <w:rPr>
                <w:rFonts w:ascii="細明體" w:eastAsia="細明體" w:hAnsi="細明體" w:cs="細明體" w:hint="eastAsia"/>
                <w:color w:val="000000"/>
                <w:kern w:val="0"/>
                <w:sz w:val="23"/>
                <w:szCs w:val="23"/>
              </w:rPr>
              <w:t>損害兒童及少年權</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益之行為，經直轄市、縣（市）主管教育行政機關查證屬實。</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三、有非屬情節重大之性騷擾、</w:t>
            </w:r>
            <w:proofErr w:type="gramStart"/>
            <w:r w:rsidRPr="00EF49C2">
              <w:rPr>
                <w:rFonts w:ascii="細明體" w:eastAsia="細明體" w:hAnsi="細明體" w:cs="細明體" w:hint="eastAsia"/>
                <w:color w:val="000000"/>
                <w:kern w:val="0"/>
                <w:sz w:val="23"/>
                <w:szCs w:val="23"/>
              </w:rPr>
              <w:t>性霸凌、</w:t>
            </w:r>
            <w:proofErr w:type="gramEnd"/>
            <w:r w:rsidRPr="00EF49C2">
              <w:rPr>
                <w:rFonts w:ascii="細明體" w:eastAsia="細明體" w:hAnsi="細明體" w:cs="細明體" w:hint="eastAsia"/>
                <w:color w:val="000000"/>
                <w:kern w:val="0"/>
                <w:sz w:val="23"/>
                <w:szCs w:val="23"/>
              </w:rPr>
              <w:t>損害兒童及少年權益之行為，直</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轄市、縣（市）主管教育行政機關認定有必要予以解聘或解僱，並審</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 xml:space="preserve">    </w:t>
            </w:r>
            <w:proofErr w:type="gramStart"/>
            <w:r w:rsidRPr="00EF49C2">
              <w:rPr>
                <w:rFonts w:ascii="細明體" w:eastAsia="細明體" w:hAnsi="細明體" w:cs="細明體" w:hint="eastAsia"/>
                <w:color w:val="000000"/>
                <w:kern w:val="0"/>
                <w:sz w:val="23"/>
                <w:szCs w:val="23"/>
              </w:rPr>
              <w:t>酌</w:t>
            </w:r>
            <w:proofErr w:type="gramEnd"/>
            <w:r w:rsidRPr="00EF49C2">
              <w:rPr>
                <w:rFonts w:ascii="細明體" w:eastAsia="細明體" w:hAnsi="細明體" w:cs="細明體" w:hint="eastAsia"/>
                <w:color w:val="000000"/>
                <w:kern w:val="0"/>
                <w:sz w:val="23"/>
                <w:szCs w:val="23"/>
              </w:rPr>
              <w:t>案件情節，認定一年至四年不得聘用或僱用。</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短期補習班之負責人有前項各款情事之</w:t>
            </w:r>
            <w:proofErr w:type="gramStart"/>
            <w:r w:rsidRPr="00EF49C2">
              <w:rPr>
                <w:rFonts w:ascii="細明體" w:eastAsia="細明體" w:hAnsi="細明體" w:cs="細明體" w:hint="eastAsia"/>
                <w:color w:val="000000"/>
                <w:kern w:val="0"/>
                <w:sz w:val="23"/>
                <w:szCs w:val="23"/>
              </w:rPr>
              <w:t>一</w:t>
            </w:r>
            <w:proofErr w:type="gramEnd"/>
            <w:r w:rsidRPr="00EF49C2">
              <w:rPr>
                <w:rFonts w:ascii="細明體" w:eastAsia="細明體" w:hAnsi="細明體" w:cs="細明體" w:hint="eastAsia"/>
                <w:color w:val="000000"/>
                <w:kern w:val="0"/>
                <w:sz w:val="23"/>
                <w:szCs w:val="23"/>
              </w:rPr>
              <w:t>者，直轄市、縣（市）主管教育</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行政機關應廢止短期補習班立案。</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有第六項第一款、第二款情事，與教師法第十四條第一項第八款及第九款</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情事者，不得擔任短期補習班之負責人或教職員工；有第六項第三款情事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及教師法第十四條第二項後段涉及性騷擾、</w:t>
            </w:r>
            <w:proofErr w:type="gramStart"/>
            <w:r w:rsidRPr="00EF49C2">
              <w:rPr>
                <w:rFonts w:ascii="細明體" w:eastAsia="細明體" w:hAnsi="細明體" w:cs="細明體" w:hint="eastAsia"/>
                <w:color w:val="000000"/>
                <w:kern w:val="0"/>
                <w:sz w:val="23"/>
                <w:szCs w:val="23"/>
              </w:rPr>
              <w:t>性霸凌</w:t>
            </w:r>
            <w:proofErr w:type="gramEnd"/>
            <w:r w:rsidRPr="00EF49C2">
              <w:rPr>
                <w:rFonts w:ascii="細明體" w:eastAsia="細明體" w:hAnsi="細明體" w:cs="細明體" w:hint="eastAsia"/>
                <w:color w:val="000000"/>
                <w:kern w:val="0"/>
                <w:sz w:val="23"/>
                <w:szCs w:val="23"/>
              </w:rPr>
              <w:t>情事者，於該認定或議</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決一年至四年</w:t>
            </w:r>
            <w:proofErr w:type="gramStart"/>
            <w:r w:rsidRPr="00EF49C2">
              <w:rPr>
                <w:rFonts w:ascii="細明體" w:eastAsia="細明體" w:hAnsi="細明體" w:cs="細明體" w:hint="eastAsia"/>
                <w:color w:val="000000"/>
                <w:kern w:val="0"/>
                <w:sz w:val="23"/>
                <w:szCs w:val="23"/>
              </w:rPr>
              <w:t>期間，</w:t>
            </w:r>
            <w:proofErr w:type="gramEnd"/>
            <w:r w:rsidRPr="00EF49C2">
              <w:rPr>
                <w:rFonts w:ascii="細明體" w:eastAsia="細明體" w:hAnsi="細明體" w:cs="細明體" w:hint="eastAsia"/>
                <w:color w:val="000000"/>
                <w:kern w:val="0"/>
                <w:sz w:val="23"/>
                <w:szCs w:val="23"/>
              </w:rPr>
              <w:t>亦同。</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短期補習班聘用或僱用教職員工前，應向直轄市、縣（市）主管教育行政</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機關查詢有無前項情事。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lastRenderedPageBreak/>
              <w:t>短期補習班人員於執行業務時，知悉其負責人或教職員工對學生有第六項</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各款行為之一時，除依其他相關法律規定通報外，並應通報直轄市、縣</w:t>
            </w:r>
            <w:proofErr w:type="gramStart"/>
            <w:r w:rsidRPr="00EF49C2">
              <w:rPr>
                <w:rFonts w:ascii="細明體" w:eastAsia="細明體" w:hAnsi="細明體" w:cs="細明體" w:hint="eastAsia"/>
                <w:color w:val="000000"/>
                <w:kern w:val="0"/>
                <w:sz w:val="23"/>
                <w:szCs w:val="23"/>
              </w:rPr>
              <w:t>（</w:t>
            </w:r>
            <w:proofErr w:type="gramEnd"/>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市</w:t>
            </w:r>
            <w:proofErr w:type="gramStart"/>
            <w:r w:rsidRPr="00EF49C2">
              <w:rPr>
                <w:rFonts w:ascii="細明體" w:eastAsia="細明體" w:hAnsi="細明體" w:cs="細明體" w:hint="eastAsia"/>
                <w:color w:val="000000"/>
                <w:kern w:val="0"/>
                <w:sz w:val="23"/>
                <w:szCs w:val="23"/>
              </w:rPr>
              <w:t>）</w:t>
            </w:r>
            <w:proofErr w:type="gramEnd"/>
            <w:r w:rsidRPr="00EF49C2">
              <w:rPr>
                <w:rFonts w:ascii="細明體" w:eastAsia="細明體" w:hAnsi="細明體" w:cs="細明體" w:hint="eastAsia"/>
                <w:color w:val="000000"/>
                <w:kern w:val="0"/>
                <w:sz w:val="23"/>
                <w:szCs w:val="23"/>
              </w:rPr>
              <w:t>主管教育行政機關。</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各級社政主管機關依性騷擾防治法第二十條或兒童及少年福利與權益保障</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法第九十七條規定處罰者，應由中央主管社政機關建立資料庫，並應協助</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直轄市、縣（市）主管教育行政機關辦理查詢事宜。</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第六項、第八項至前項之認定、通報、資訊蒐集、任職前及任職期間之查</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proofErr w:type="gramStart"/>
            <w:r w:rsidRPr="00EF49C2">
              <w:rPr>
                <w:rFonts w:ascii="細明體" w:eastAsia="細明體" w:hAnsi="細明體" w:cs="細明體" w:hint="eastAsia"/>
                <w:color w:val="000000"/>
                <w:kern w:val="0"/>
                <w:sz w:val="23"/>
                <w:szCs w:val="23"/>
              </w:rPr>
              <w:t>詢</w:t>
            </w:r>
            <w:proofErr w:type="gramEnd"/>
            <w:r w:rsidRPr="00EF49C2">
              <w:rPr>
                <w:rFonts w:ascii="細明體" w:eastAsia="細明體" w:hAnsi="細明體" w:cs="細明體" w:hint="eastAsia"/>
                <w:color w:val="000000"/>
                <w:kern w:val="0"/>
                <w:sz w:val="23"/>
                <w:szCs w:val="23"/>
              </w:rPr>
              <w:t>、處理、利用及其他應遵行事項之辦法，由中央主管教育行政機關會商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相關目的事業主管機關定之。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短期補習班違反第三項至第五項、第九項或第十項規定者，直轄市、縣</w:t>
            </w:r>
            <w:proofErr w:type="gramStart"/>
            <w:r w:rsidRPr="00EF49C2">
              <w:rPr>
                <w:rFonts w:ascii="細明體" w:eastAsia="細明體" w:hAnsi="細明體" w:cs="細明體" w:hint="eastAsia"/>
                <w:color w:val="000000"/>
                <w:kern w:val="0"/>
                <w:sz w:val="23"/>
                <w:szCs w:val="23"/>
              </w:rPr>
              <w:t>（</w:t>
            </w:r>
            <w:proofErr w:type="gramEnd"/>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市</w:t>
            </w:r>
            <w:proofErr w:type="gramStart"/>
            <w:r w:rsidRPr="00EF49C2">
              <w:rPr>
                <w:rFonts w:ascii="細明體" w:eastAsia="細明體" w:hAnsi="細明體" w:cs="細明體" w:hint="eastAsia"/>
                <w:color w:val="000000"/>
                <w:kern w:val="0"/>
                <w:sz w:val="23"/>
                <w:szCs w:val="23"/>
              </w:rPr>
              <w:t>）</w:t>
            </w:r>
            <w:proofErr w:type="gramEnd"/>
            <w:r w:rsidRPr="00EF49C2">
              <w:rPr>
                <w:rFonts w:ascii="細明體" w:eastAsia="細明體" w:hAnsi="細明體" w:cs="細明體" w:hint="eastAsia"/>
                <w:color w:val="000000"/>
                <w:kern w:val="0"/>
                <w:sz w:val="23"/>
                <w:szCs w:val="23"/>
              </w:rPr>
              <w:t>主管教育行政機關應處其負責人新臺幣五萬元以上二十五萬元以下罰</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proofErr w:type="gramStart"/>
            <w:r w:rsidRPr="00EF49C2">
              <w:rPr>
                <w:rFonts w:ascii="細明體" w:eastAsia="細明體" w:hAnsi="細明體" w:cs="細明體" w:hint="eastAsia"/>
                <w:color w:val="000000"/>
                <w:kern w:val="0"/>
                <w:sz w:val="23"/>
                <w:szCs w:val="23"/>
              </w:rPr>
              <w:t>鍰</w:t>
            </w:r>
            <w:proofErr w:type="gramEnd"/>
            <w:r w:rsidRPr="00EF49C2">
              <w:rPr>
                <w:rFonts w:ascii="細明體" w:eastAsia="細明體" w:hAnsi="細明體" w:cs="細明體" w:hint="eastAsia"/>
                <w:color w:val="000000"/>
                <w:kern w:val="0"/>
                <w:sz w:val="23"/>
                <w:szCs w:val="23"/>
              </w:rPr>
              <w:t>，並得令其限期改善，屆期未改善者，按次處罰；必要時並令其停止招</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生或廢止短期補習班立案。</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2" w:history="1">
              <w:r w:rsidRPr="00EF49C2">
                <w:rPr>
                  <w:rFonts w:ascii="細明體" w:eastAsia="細明體" w:hAnsi="細明體" w:cs="新細明體" w:hint="eastAsia"/>
                  <w:color w:val="3366FF"/>
                  <w:kern w:val="0"/>
                  <w:sz w:val="23"/>
                  <w:szCs w:val="23"/>
                  <w:u w:val="single"/>
                  <w:bdr w:val="none" w:sz="0" w:space="0" w:color="auto" w:frame="1"/>
                </w:rPr>
                <w:t>第 10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各級國民補習學校及進修學校之授課，得</w:t>
            </w:r>
            <w:proofErr w:type="gramStart"/>
            <w:r w:rsidRPr="00EF49C2">
              <w:rPr>
                <w:rFonts w:ascii="細明體" w:eastAsia="細明體" w:hAnsi="細明體" w:cs="細明體" w:hint="eastAsia"/>
                <w:color w:val="000000"/>
                <w:kern w:val="0"/>
                <w:sz w:val="23"/>
                <w:szCs w:val="23"/>
              </w:rPr>
              <w:t>採</w:t>
            </w:r>
            <w:proofErr w:type="gramEnd"/>
            <w:r w:rsidRPr="00EF49C2">
              <w:rPr>
                <w:rFonts w:ascii="細明體" w:eastAsia="細明體" w:hAnsi="細明體" w:cs="細明體" w:hint="eastAsia"/>
                <w:color w:val="000000"/>
                <w:kern w:val="0"/>
                <w:sz w:val="23"/>
                <w:szCs w:val="23"/>
              </w:rPr>
              <w:t>按日制、間日制或週末制；其</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教學內容，以適應學生學習及社會需要為</w:t>
            </w:r>
            <w:proofErr w:type="gramStart"/>
            <w:r w:rsidRPr="00EF49C2">
              <w:rPr>
                <w:rFonts w:ascii="細明體" w:eastAsia="細明體" w:hAnsi="細明體" w:cs="細明體" w:hint="eastAsia"/>
                <w:color w:val="000000"/>
                <w:kern w:val="0"/>
                <w:sz w:val="23"/>
                <w:szCs w:val="23"/>
              </w:rPr>
              <w:t>準</w:t>
            </w:r>
            <w:proofErr w:type="gramEnd"/>
            <w:r w:rsidRPr="00EF49C2">
              <w:rPr>
                <w:rFonts w:ascii="細明體" w:eastAsia="細明體" w:hAnsi="細明體" w:cs="細明體" w:hint="eastAsia"/>
                <w:color w:val="000000"/>
                <w:kern w:val="0"/>
                <w:sz w:val="23"/>
                <w:szCs w:val="23"/>
              </w:rPr>
              <w:t>。</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3" w:history="1">
              <w:r w:rsidRPr="00EF49C2">
                <w:rPr>
                  <w:rFonts w:ascii="細明體" w:eastAsia="細明體" w:hAnsi="細明體" w:cs="新細明體" w:hint="eastAsia"/>
                  <w:color w:val="3366FF"/>
                  <w:kern w:val="0"/>
                  <w:sz w:val="23"/>
                  <w:szCs w:val="23"/>
                  <w:u w:val="single"/>
                  <w:bdr w:val="none" w:sz="0" w:space="0" w:color="auto" w:frame="1"/>
                </w:rPr>
                <w:t>第 11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各級國民補習學校及進修學校之教學科目，每週教學時 (節) 數、課程標</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proofErr w:type="gramStart"/>
            <w:r w:rsidRPr="00EF49C2">
              <w:rPr>
                <w:rFonts w:ascii="細明體" w:eastAsia="細明體" w:hAnsi="細明體" w:cs="細明體" w:hint="eastAsia"/>
                <w:color w:val="000000"/>
                <w:kern w:val="0"/>
                <w:sz w:val="23"/>
                <w:szCs w:val="23"/>
              </w:rPr>
              <w:t>準</w:t>
            </w:r>
            <w:proofErr w:type="gramEnd"/>
            <w:r w:rsidRPr="00EF49C2">
              <w:rPr>
                <w:rFonts w:ascii="細明體" w:eastAsia="細明體" w:hAnsi="細明體" w:cs="細明體" w:hint="eastAsia"/>
                <w:color w:val="000000"/>
                <w:kern w:val="0"/>
                <w:sz w:val="23"/>
                <w:szCs w:val="23"/>
              </w:rPr>
              <w:t>、設備標準、畢業條件及實習規範，由中央主管教育行政機關定之。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4" w:history="1">
              <w:r w:rsidRPr="00EF49C2">
                <w:rPr>
                  <w:rFonts w:ascii="細明體" w:eastAsia="細明體" w:hAnsi="細明體" w:cs="新細明體" w:hint="eastAsia"/>
                  <w:color w:val="3366FF"/>
                  <w:kern w:val="0"/>
                  <w:sz w:val="23"/>
                  <w:szCs w:val="23"/>
                  <w:u w:val="single"/>
                  <w:bdr w:val="none" w:sz="0" w:space="0" w:color="auto" w:frame="1"/>
                </w:rPr>
                <w:t>第 12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補習及進修教育，除以一般方式施教外，得以函授、廣播、電視、電腦網</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路等教學方式辦理。</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5" w:history="1">
              <w:r w:rsidRPr="00EF49C2">
                <w:rPr>
                  <w:rFonts w:ascii="細明體" w:eastAsia="細明體" w:hAnsi="細明體" w:cs="新細明體" w:hint="eastAsia"/>
                  <w:color w:val="3366FF"/>
                  <w:kern w:val="0"/>
                  <w:sz w:val="23"/>
                  <w:szCs w:val="23"/>
                  <w:u w:val="single"/>
                  <w:bdr w:val="none" w:sz="0" w:space="0" w:color="auto" w:frame="1"/>
                </w:rPr>
                <w:t>第 13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國民小學補習學校無入學資格限制。國民中學補習學校及各級進修學校之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入學資格，以具有規定學歷，或經自學進修學力鑑定考試及格，或具有同</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等學力者為限。</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各級國民補習學校及進修學校之入學方式，須經入學考試合格、甄試錄取</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、登記、分發或保送入學，其注意事項由各校自訂。</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第一項自學進修學力鑑定之範圍、考試辦理機關、每年舉辦之次數與時間</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、考試科目、應考資格、證書之頒發、撤銷、廢止與其他相關事項之辦法</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，及同等學力之標準，由中央主管教育行政機關定之。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6" w:history="1">
              <w:r w:rsidRPr="00EF49C2">
                <w:rPr>
                  <w:rFonts w:ascii="細明體" w:eastAsia="細明體" w:hAnsi="細明體" w:cs="新細明體" w:hint="eastAsia"/>
                  <w:color w:val="3366FF"/>
                  <w:kern w:val="0"/>
                  <w:sz w:val="23"/>
                  <w:szCs w:val="23"/>
                  <w:u w:val="single"/>
                  <w:bdr w:val="none" w:sz="0" w:space="0" w:color="auto" w:frame="1"/>
                </w:rPr>
                <w:t>第 14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進修學校之學生申請緩徵，依兵役法及其相關規定辦理。</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7" w:history="1">
              <w:r w:rsidRPr="00EF49C2">
                <w:rPr>
                  <w:rFonts w:ascii="細明體" w:eastAsia="細明體" w:hAnsi="細明體" w:cs="新細明體" w:hint="eastAsia"/>
                  <w:color w:val="3366FF"/>
                  <w:kern w:val="0"/>
                  <w:sz w:val="23"/>
                  <w:szCs w:val="23"/>
                  <w:u w:val="single"/>
                  <w:bdr w:val="none" w:sz="0" w:space="0" w:color="auto" w:frame="1"/>
                </w:rPr>
                <w:t>第 15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國民補習學校、高級中學及職業進修學校學生，修業期滿成績及格者，准</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予畢業，並由學校給予畢業證書，具有同級、同類學校之畢業資格。</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專科以上進修學校學生，修滿規定學分，成績及格者，准予畢業，並由學</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校給予畢業證書 (或學位證書) ，具有同級、同類學校之畢業資格。</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8" w:history="1">
              <w:r w:rsidRPr="00EF49C2">
                <w:rPr>
                  <w:rFonts w:ascii="細明體" w:eastAsia="細明體" w:hAnsi="細明體" w:cs="新細明體" w:hint="eastAsia"/>
                  <w:color w:val="3366FF"/>
                  <w:kern w:val="0"/>
                  <w:sz w:val="23"/>
                  <w:szCs w:val="23"/>
                  <w:u w:val="single"/>
                  <w:bdr w:val="none" w:sz="0" w:space="0" w:color="auto" w:frame="1"/>
                </w:rPr>
                <w:t>第 16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各級國民補習學校及進修學校學生修畢與同級、同類學校相當年級之主要</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科目，成績及格者，得申請轉學同級、同類學校程度相銜接之班級。但有</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入學年齡之限制者，從其規定。</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19" w:history="1">
              <w:r w:rsidRPr="00EF49C2">
                <w:rPr>
                  <w:rFonts w:ascii="細明體" w:eastAsia="細明體" w:hAnsi="細明體" w:cs="新細明體" w:hint="eastAsia"/>
                  <w:color w:val="3366FF"/>
                  <w:kern w:val="0"/>
                  <w:sz w:val="23"/>
                  <w:szCs w:val="23"/>
                  <w:u w:val="single"/>
                  <w:bdr w:val="none" w:sz="0" w:space="0" w:color="auto" w:frame="1"/>
                </w:rPr>
                <w:t>第 17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各級國民補習學校及進修學校，置校長一人，綜理校務。各學校附設國民</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補習學校或進修學校之校長，得由各該學校校長兼任。</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各級國民補習學校及進修學校，置校務主任一人，由原屬學校專任教師兼</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任，襄助校長推展校務。</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各級國民補習學校及進修學校，其員額編制表由各校依各級主管教育行政</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機關所定之員額編制標準定之。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0" w:history="1">
              <w:r w:rsidRPr="00EF49C2">
                <w:rPr>
                  <w:rFonts w:ascii="細明體" w:eastAsia="細明體" w:hAnsi="細明體" w:cs="新細明體" w:hint="eastAsia"/>
                  <w:color w:val="3366FF"/>
                  <w:kern w:val="0"/>
                  <w:sz w:val="23"/>
                  <w:szCs w:val="23"/>
                  <w:u w:val="single"/>
                  <w:bdr w:val="none" w:sz="0" w:space="0" w:color="auto" w:frame="1"/>
                </w:rPr>
                <w:t>第 18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各學校附設之國民補習學校及進修學校之教師，由校長依法聘請合格人員</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充任之；職員由校長指派現有人員兼任或依聘僱相關法規進用。</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各級國民補習學校及進修學校之教職員資格、待遇及保障等，適用同級、</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同類學校之有關規定。</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1" w:history="1">
              <w:r w:rsidRPr="00EF49C2">
                <w:rPr>
                  <w:rFonts w:ascii="細明體" w:eastAsia="細明體" w:hAnsi="細明體" w:cs="新細明體" w:hint="eastAsia"/>
                  <w:color w:val="3366FF"/>
                  <w:kern w:val="0"/>
                  <w:sz w:val="23"/>
                  <w:szCs w:val="23"/>
                  <w:u w:val="single"/>
                  <w:bdr w:val="none" w:sz="0" w:space="0" w:color="auto" w:frame="1"/>
                </w:rPr>
                <w:t>第 19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專科以上學校，得依實際需要，設置與各該學校程度相當之進修科目，選</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取合格學生，修業完畢，成績及格者，由學校給予各該科目之學分證明書</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。經入學同級學校者，如所修之學分與</w:t>
            </w:r>
            <w:proofErr w:type="gramStart"/>
            <w:r w:rsidRPr="00EF49C2">
              <w:rPr>
                <w:rFonts w:ascii="細明體" w:eastAsia="細明體" w:hAnsi="細明體" w:cs="細明體" w:hint="eastAsia"/>
                <w:color w:val="000000"/>
                <w:kern w:val="0"/>
                <w:sz w:val="23"/>
                <w:szCs w:val="23"/>
              </w:rPr>
              <w:t>所習系</w:t>
            </w:r>
            <w:proofErr w:type="gramEnd"/>
            <w:r w:rsidRPr="00EF49C2">
              <w:rPr>
                <w:rFonts w:ascii="細明體" w:eastAsia="細明體" w:hAnsi="細明體" w:cs="細明體" w:hint="eastAsia"/>
                <w:color w:val="000000"/>
                <w:kern w:val="0"/>
                <w:sz w:val="23"/>
                <w:szCs w:val="23"/>
              </w:rPr>
              <w:t>、科之學科名稱、學分數目</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均相同時，應酌予</w:t>
            </w:r>
            <w:proofErr w:type="gramStart"/>
            <w:r w:rsidRPr="00EF49C2">
              <w:rPr>
                <w:rFonts w:ascii="細明體" w:eastAsia="細明體" w:hAnsi="細明體" w:cs="細明體" w:hint="eastAsia"/>
                <w:color w:val="000000"/>
                <w:kern w:val="0"/>
                <w:sz w:val="23"/>
                <w:szCs w:val="23"/>
              </w:rPr>
              <w:t>採</w:t>
            </w:r>
            <w:proofErr w:type="gramEnd"/>
            <w:r w:rsidRPr="00EF49C2">
              <w:rPr>
                <w:rFonts w:ascii="細明體" w:eastAsia="細明體" w:hAnsi="細明體" w:cs="細明體" w:hint="eastAsia"/>
                <w:color w:val="000000"/>
                <w:kern w:val="0"/>
                <w:sz w:val="23"/>
                <w:szCs w:val="23"/>
              </w:rPr>
              <w:t>認。</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2" w:history="1">
              <w:r w:rsidRPr="00EF49C2">
                <w:rPr>
                  <w:rFonts w:ascii="細明體" w:eastAsia="細明體" w:hAnsi="細明體" w:cs="新細明體" w:hint="eastAsia"/>
                  <w:color w:val="3366FF"/>
                  <w:kern w:val="0"/>
                  <w:sz w:val="23"/>
                  <w:szCs w:val="23"/>
                  <w:u w:val="single"/>
                  <w:bdr w:val="none" w:sz="0" w:space="0" w:color="auto" w:frame="1"/>
                </w:rPr>
                <w:t>第 20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專科以上學校，應就其所設系、科 (組) 性質相近者，配合社會需要，辦</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理推廣教育。</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3" w:history="1">
              <w:r w:rsidRPr="00EF49C2">
                <w:rPr>
                  <w:rFonts w:ascii="細明體" w:eastAsia="細明體" w:hAnsi="細明體" w:cs="新細明體" w:hint="eastAsia"/>
                  <w:color w:val="3366FF"/>
                  <w:kern w:val="0"/>
                  <w:sz w:val="23"/>
                  <w:szCs w:val="23"/>
                  <w:u w:val="single"/>
                  <w:bdr w:val="none" w:sz="0" w:space="0" w:color="auto" w:frame="1"/>
                </w:rPr>
                <w:t>第 21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各級國民補習學校免收學費，得酌收其他費用；各級進修學校得比照各同</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級、同類學校收費，其收費標準，由各級主管教育行政機關規定之；專科</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以上學校辦理推廣教育之收費，須經中央主管教育行政機關核准。</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4" w:history="1">
              <w:r w:rsidRPr="00EF49C2">
                <w:rPr>
                  <w:rFonts w:ascii="細明體" w:eastAsia="細明體" w:hAnsi="細明體" w:cs="新細明體" w:hint="eastAsia"/>
                  <w:color w:val="3366FF"/>
                  <w:kern w:val="0"/>
                  <w:sz w:val="23"/>
                  <w:szCs w:val="23"/>
                  <w:u w:val="single"/>
                  <w:bdr w:val="none" w:sz="0" w:space="0" w:color="auto" w:frame="1"/>
                </w:rPr>
                <w:t>第 22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私立國民補習學校及進修學校，依本法之規定辦理。本法未規定者，依私</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立學校法及有關法令之規定。</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5" w:history="1">
              <w:r w:rsidRPr="00EF49C2">
                <w:rPr>
                  <w:rFonts w:ascii="細明體" w:eastAsia="細明體" w:hAnsi="細明體" w:cs="新細明體" w:hint="eastAsia"/>
                  <w:color w:val="3366FF"/>
                  <w:kern w:val="0"/>
                  <w:sz w:val="23"/>
                  <w:szCs w:val="23"/>
                  <w:u w:val="single"/>
                  <w:bdr w:val="none" w:sz="0" w:space="0" w:color="auto" w:frame="1"/>
                </w:rPr>
                <w:t>第 23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短期補習班得招收外國人；其招生條件與方式、管理及其他應遵行事項之</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辦法，由中央主管教育行政機關會同相關主管機關定之。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6" w:history="1">
              <w:r w:rsidRPr="00EF49C2">
                <w:rPr>
                  <w:rFonts w:ascii="細明體" w:eastAsia="細明體" w:hAnsi="細明體" w:cs="新細明體" w:hint="eastAsia"/>
                  <w:color w:val="3366FF"/>
                  <w:kern w:val="0"/>
                  <w:sz w:val="23"/>
                  <w:szCs w:val="23"/>
                  <w:u w:val="single"/>
                  <w:bdr w:val="none" w:sz="0" w:space="0" w:color="auto" w:frame="1"/>
                </w:rPr>
                <w:t>第 24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未依法申請核准立案，而以補習班或類似補習班名義擅自招生者，由直轄</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市、縣 (市) 主管教育行政機關命其立即停辦，並公告之；其所使用之器</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lastRenderedPageBreak/>
              <w:t>材、設備得沒入；其負責人處新臺幣五萬元以上二十五萬元以下罰鍰；經</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處罰鍰後仍</w:t>
            </w:r>
            <w:proofErr w:type="gramStart"/>
            <w:r w:rsidRPr="00EF49C2">
              <w:rPr>
                <w:rFonts w:ascii="細明體" w:eastAsia="細明體" w:hAnsi="細明體" w:cs="細明體" w:hint="eastAsia"/>
                <w:color w:val="000000"/>
                <w:kern w:val="0"/>
                <w:sz w:val="23"/>
                <w:szCs w:val="23"/>
              </w:rPr>
              <w:t>不</w:t>
            </w:r>
            <w:proofErr w:type="gramEnd"/>
            <w:r w:rsidRPr="00EF49C2">
              <w:rPr>
                <w:rFonts w:ascii="細明體" w:eastAsia="細明體" w:hAnsi="細明體" w:cs="細明體" w:hint="eastAsia"/>
                <w:color w:val="000000"/>
                <w:kern w:val="0"/>
                <w:sz w:val="23"/>
                <w:szCs w:val="23"/>
              </w:rPr>
              <w:t>遵令停辦者，得按日連續處罰。</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依前項規定所處之罰鍰，經限期繳納，屆期仍未繳納者，由直轄市、縣 (</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市) 主管教育行政機關移送強制執行。</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7" w:history="1">
              <w:r w:rsidRPr="00EF49C2">
                <w:rPr>
                  <w:rFonts w:ascii="細明體" w:eastAsia="細明體" w:hAnsi="細明體" w:cs="新細明體" w:hint="eastAsia"/>
                  <w:color w:val="3366FF"/>
                  <w:kern w:val="0"/>
                  <w:sz w:val="23"/>
                  <w:szCs w:val="23"/>
                  <w:u w:val="single"/>
                  <w:bdr w:val="none" w:sz="0" w:space="0" w:color="auto" w:frame="1"/>
                </w:rPr>
                <w:t>第 25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短期補習班辦理不善、違反本法或有關法令或違反設立許可條件者，直轄</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市、縣 (市) 主管教育行政機關得視情節分別為下列處分</w:t>
            </w:r>
            <w:proofErr w:type="gramStart"/>
            <w:r w:rsidRPr="00EF49C2">
              <w:rPr>
                <w:rFonts w:ascii="細明體" w:eastAsia="細明體" w:hAnsi="細明體" w:cs="細明體" w:hint="eastAsia"/>
                <w:color w:val="000000"/>
                <w:kern w:val="0"/>
                <w:sz w:val="23"/>
                <w:szCs w:val="23"/>
              </w:rPr>
              <w:t>︰</w:t>
            </w:r>
            <w:proofErr w:type="gramEnd"/>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一、糾正。</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二、限期整頓改善。</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三、停止招生。</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四、撤銷立案。</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8" w:history="1">
              <w:r w:rsidRPr="00EF49C2">
                <w:rPr>
                  <w:rFonts w:ascii="細明體" w:eastAsia="細明體" w:hAnsi="細明體" w:cs="新細明體" w:hint="eastAsia"/>
                  <w:color w:val="3366FF"/>
                  <w:kern w:val="0"/>
                  <w:sz w:val="23"/>
                  <w:szCs w:val="23"/>
                  <w:u w:val="single"/>
                  <w:bdr w:val="none" w:sz="0" w:space="0" w:color="auto" w:frame="1"/>
                </w:rPr>
                <w:t>第 26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本法修正施行前，依本法單獨設立辦理補習及進修教育之學校，其變更及</w:t>
            </w:r>
          </w:p>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相關事項，依同級、同類學校之規定辦理。</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29" w:history="1">
              <w:r w:rsidRPr="00EF49C2">
                <w:rPr>
                  <w:rFonts w:ascii="細明體" w:eastAsia="細明體" w:hAnsi="細明體" w:cs="新細明體" w:hint="eastAsia"/>
                  <w:color w:val="3366FF"/>
                  <w:kern w:val="0"/>
                  <w:sz w:val="23"/>
                  <w:szCs w:val="23"/>
                  <w:u w:val="single"/>
                  <w:bdr w:val="none" w:sz="0" w:space="0" w:color="auto" w:frame="1"/>
                </w:rPr>
                <w:t>第 27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本法施行細則，由中央主管教育行政機關定之。</w:t>
            </w:r>
          </w:p>
          <w:p w:rsidR="00EF49C2" w:rsidRPr="00EF49C2" w:rsidRDefault="00EF49C2" w:rsidP="00EF49C2">
            <w:pPr>
              <w:widowControl/>
              <w:rPr>
                <w:rFonts w:ascii="細明體" w:eastAsia="細明體" w:hAnsi="細明體" w:cs="新細明體" w:hint="eastAsia"/>
                <w:color w:val="000000"/>
                <w:kern w:val="0"/>
                <w:sz w:val="23"/>
                <w:szCs w:val="23"/>
              </w:rPr>
            </w:pPr>
          </w:p>
        </w:tc>
      </w:tr>
      <w:tr w:rsidR="00EF49C2" w:rsidRPr="00EF49C2" w:rsidTr="00EF49C2">
        <w:tc>
          <w:tcPr>
            <w:tcW w:w="599" w:type="pct"/>
            <w:tcBorders>
              <w:top w:val="nil"/>
              <w:left w:val="nil"/>
              <w:bottom w:val="dotted" w:sz="6" w:space="0" w:color="3F67A5"/>
              <w:right w:val="nil"/>
            </w:tcBorders>
            <w:shd w:val="clear" w:color="auto" w:fill="FFFFFF"/>
            <w:noWrap/>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color w:val="000000"/>
                <w:kern w:val="0"/>
                <w:sz w:val="23"/>
                <w:szCs w:val="23"/>
              </w:rPr>
            </w:pPr>
            <w:hyperlink r:id="rId30" w:history="1">
              <w:r w:rsidRPr="00EF49C2">
                <w:rPr>
                  <w:rFonts w:ascii="細明體" w:eastAsia="細明體" w:hAnsi="細明體" w:cs="新細明體" w:hint="eastAsia"/>
                  <w:color w:val="3366FF"/>
                  <w:kern w:val="0"/>
                  <w:sz w:val="23"/>
                  <w:szCs w:val="23"/>
                  <w:u w:val="single"/>
                  <w:bdr w:val="none" w:sz="0" w:space="0" w:color="auto" w:frame="1"/>
                </w:rPr>
                <w:t>第 28 條</w:t>
              </w:r>
            </w:hyperlink>
          </w:p>
        </w:tc>
        <w:tc>
          <w:tcPr>
            <w:tcW w:w="159"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spacing w:line="315" w:lineRule="atLeast"/>
              <w:rPr>
                <w:rFonts w:ascii="細明體" w:eastAsia="細明體" w:hAnsi="細明體" w:cs="新細明體" w:hint="eastAsia"/>
                <w:color w:val="000000"/>
                <w:kern w:val="0"/>
                <w:sz w:val="23"/>
                <w:szCs w:val="23"/>
              </w:rPr>
            </w:pPr>
            <w:r w:rsidRPr="00EF49C2">
              <w:rPr>
                <w:rFonts w:ascii="細明體" w:eastAsia="細明體" w:hAnsi="細明體" w:cs="新細明體" w:hint="eastAsia"/>
                <w:color w:val="000000"/>
                <w:kern w:val="0"/>
                <w:sz w:val="23"/>
                <w:szCs w:val="23"/>
              </w:rPr>
              <w:t> </w:t>
            </w:r>
          </w:p>
        </w:tc>
        <w:tc>
          <w:tcPr>
            <w:tcW w:w="4242" w:type="pct"/>
            <w:tcBorders>
              <w:top w:val="nil"/>
              <w:left w:val="nil"/>
              <w:bottom w:val="dotted" w:sz="6" w:space="0" w:color="3F67A5"/>
              <w:right w:val="nil"/>
            </w:tcBorders>
            <w:shd w:val="clear" w:color="auto" w:fill="FFFFFF"/>
            <w:tcMar>
              <w:top w:w="45" w:type="dxa"/>
              <w:left w:w="75" w:type="dxa"/>
              <w:bottom w:w="45" w:type="dxa"/>
              <w:right w:w="75" w:type="dxa"/>
            </w:tcMar>
            <w:hideMark/>
          </w:tcPr>
          <w:p w:rsidR="00EF49C2" w:rsidRPr="00EF49C2" w:rsidRDefault="00EF49C2" w:rsidP="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color w:val="000000"/>
                <w:kern w:val="0"/>
                <w:sz w:val="23"/>
                <w:szCs w:val="23"/>
              </w:rPr>
            </w:pPr>
            <w:r w:rsidRPr="00EF49C2">
              <w:rPr>
                <w:rFonts w:ascii="細明體" w:eastAsia="細明體" w:hAnsi="細明體" w:cs="細明體" w:hint="eastAsia"/>
                <w:color w:val="000000"/>
                <w:kern w:val="0"/>
                <w:sz w:val="23"/>
                <w:szCs w:val="23"/>
              </w:rPr>
              <w:t>本法自公布日施行。</w:t>
            </w:r>
          </w:p>
        </w:tc>
      </w:tr>
    </w:tbl>
    <w:p w:rsidR="00EF49C2" w:rsidRDefault="00EF49C2">
      <w:pPr>
        <w:rPr>
          <w:rFonts w:hint="eastAsia"/>
        </w:rPr>
      </w:pPr>
    </w:p>
    <w:sectPr w:rsidR="00EF49C2" w:rsidSect="00EF49C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C2"/>
    <w:rsid w:val="00126E31"/>
    <w:rsid w:val="00EF4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C1F6"/>
  <w15:chartTrackingRefBased/>
  <w15:docId w15:val="{C20C6F48-ED98-4768-8FAA-A0A5CD5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49C2"/>
    <w:pPr>
      <w:jc w:val="right"/>
    </w:pPr>
  </w:style>
  <w:style w:type="character" w:customStyle="1" w:styleId="a4">
    <w:name w:val="日期 字元"/>
    <w:basedOn w:val="a0"/>
    <w:link w:val="a3"/>
    <w:uiPriority w:val="99"/>
    <w:semiHidden/>
    <w:rsid w:val="00EF49C2"/>
  </w:style>
  <w:style w:type="character" w:styleId="a5">
    <w:name w:val="Hyperlink"/>
    <w:basedOn w:val="a0"/>
    <w:uiPriority w:val="99"/>
    <w:semiHidden/>
    <w:unhideWhenUsed/>
    <w:rsid w:val="00EF49C2"/>
    <w:rPr>
      <w:color w:val="0000FF"/>
      <w:u w:val="single"/>
    </w:rPr>
  </w:style>
  <w:style w:type="paragraph" w:styleId="HTML">
    <w:name w:val="HTML Preformatted"/>
    <w:basedOn w:val="a"/>
    <w:link w:val="HTML0"/>
    <w:uiPriority w:val="99"/>
    <w:semiHidden/>
    <w:unhideWhenUsed/>
    <w:rsid w:val="00EF4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EF49C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H0080002&amp;FLNO=6" TargetMode="External"/><Relationship Id="rId13" Type="http://schemas.openxmlformats.org/officeDocument/2006/relationships/hyperlink" Target="http://law.moj.gov.tw/LawClass/LawSingle.aspx?Pcode=H0080002&amp;FLNO=11" TargetMode="External"/><Relationship Id="rId18" Type="http://schemas.openxmlformats.org/officeDocument/2006/relationships/hyperlink" Target="http://law.moj.gov.tw/LawClass/LawSingle.aspx?Pcode=H0080002&amp;FLNO=16" TargetMode="External"/><Relationship Id="rId26" Type="http://schemas.openxmlformats.org/officeDocument/2006/relationships/hyperlink" Target="http://law.moj.gov.tw/LawClass/LawSingle.aspx?Pcode=H0080002&amp;FLNO=24" TargetMode="External"/><Relationship Id="rId3" Type="http://schemas.openxmlformats.org/officeDocument/2006/relationships/webSettings" Target="webSettings.xml"/><Relationship Id="rId21" Type="http://schemas.openxmlformats.org/officeDocument/2006/relationships/hyperlink" Target="http://law.moj.gov.tw/LawClass/LawSingle.aspx?Pcode=H0080002&amp;FLNO=19" TargetMode="External"/><Relationship Id="rId7" Type="http://schemas.openxmlformats.org/officeDocument/2006/relationships/hyperlink" Target="http://law.moj.gov.tw/LawClass/LawSingle.aspx?Pcode=H0080002&amp;FLNO=5" TargetMode="External"/><Relationship Id="rId12" Type="http://schemas.openxmlformats.org/officeDocument/2006/relationships/hyperlink" Target="http://law.moj.gov.tw/LawClass/LawSingle.aspx?Pcode=H0080002&amp;FLNO=10" TargetMode="External"/><Relationship Id="rId17" Type="http://schemas.openxmlformats.org/officeDocument/2006/relationships/hyperlink" Target="http://law.moj.gov.tw/LawClass/LawSingle.aspx?Pcode=H0080002&amp;FLNO=15" TargetMode="External"/><Relationship Id="rId25" Type="http://schemas.openxmlformats.org/officeDocument/2006/relationships/hyperlink" Target="http://law.moj.gov.tw/LawClass/LawSingle.aspx?Pcode=H0080002&amp;FLNO=23" TargetMode="External"/><Relationship Id="rId2" Type="http://schemas.openxmlformats.org/officeDocument/2006/relationships/settings" Target="settings.xml"/><Relationship Id="rId16" Type="http://schemas.openxmlformats.org/officeDocument/2006/relationships/hyperlink" Target="http://law.moj.gov.tw/LawClass/LawSingle.aspx?Pcode=H0080002&amp;FLNO=14" TargetMode="External"/><Relationship Id="rId20" Type="http://schemas.openxmlformats.org/officeDocument/2006/relationships/hyperlink" Target="http://law.moj.gov.tw/LawClass/LawSingle.aspx?Pcode=H0080002&amp;FLNO=18" TargetMode="External"/><Relationship Id="rId29" Type="http://schemas.openxmlformats.org/officeDocument/2006/relationships/hyperlink" Target="http://law.moj.gov.tw/LawClass/LawSingle.aspx?Pcode=H0080002&amp;FLNO=27" TargetMode="External"/><Relationship Id="rId1" Type="http://schemas.openxmlformats.org/officeDocument/2006/relationships/styles" Target="styles.xml"/><Relationship Id="rId6" Type="http://schemas.openxmlformats.org/officeDocument/2006/relationships/hyperlink" Target="http://law.moj.gov.tw/LawClass/LawSingle.aspx?Pcode=H0080002&amp;FLNO=4" TargetMode="External"/><Relationship Id="rId11" Type="http://schemas.openxmlformats.org/officeDocument/2006/relationships/hyperlink" Target="http://law.moj.gov.tw/LawClass/LawSingle.aspx?Pcode=H0080002&amp;FLNO=9" TargetMode="External"/><Relationship Id="rId24" Type="http://schemas.openxmlformats.org/officeDocument/2006/relationships/hyperlink" Target="http://law.moj.gov.tw/LawClass/LawSingle.aspx?Pcode=H0080002&amp;FLNO=22" TargetMode="External"/><Relationship Id="rId32" Type="http://schemas.openxmlformats.org/officeDocument/2006/relationships/theme" Target="theme/theme1.xml"/><Relationship Id="rId5" Type="http://schemas.openxmlformats.org/officeDocument/2006/relationships/hyperlink" Target="http://law.moj.gov.tw/LawClass/LawSingle.aspx?Pcode=H0080002&amp;FLNO=3" TargetMode="External"/><Relationship Id="rId15" Type="http://schemas.openxmlformats.org/officeDocument/2006/relationships/hyperlink" Target="http://law.moj.gov.tw/LawClass/LawSingle.aspx?Pcode=H0080002&amp;FLNO=13" TargetMode="External"/><Relationship Id="rId23" Type="http://schemas.openxmlformats.org/officeDocument/2006/relationships/hyperlink" Target="http://law.moj.gov.tw/LawClass/LawSingle.aspx?Pcode=H0080002&amp;FLNO=21" TargetMode="External"/><Relationship Id="rId28" Type="http://schemas.openxmlformats.org/officeDocument/2006/relationships/hyperlink" Target="http://law.moj.gov.tw/LawClass/LawSingle.aspx?Pcode=H0080002&amp;FLNO=26" TargetMode="External"/><Relationship Id="rId10" Type="http://schemas.openxmlformats.org/officeDocument/2006/relationships/hyperlink" Target="http://law.moj.gov.tw/LawClass/LawSingle.aspx?Pcode=H0080002&amp;FLNO=8" TargetMode="External"/><Relationship Id="rId19" Type="http://schemas.openxmlformats.org/officeDocument/2006/relationships/hyperlink" Target="http://law.moj.gov.tw/LawClass/LawSingle.aspx?Pcode=H0080002&amp;FLNO=17" TargetMode="External"/><Relationship Id="rId31" Type="http://schemas.openxmlformats.org/officeDocument/2006/relationships/fontTable" Target="fontTable.xml"/><Relationship Id="rId4" Type="http://schemas.openxmlformats.org/officeDocument/2006/relationships/hyperlink" Target="http://law.moj.gov.tw/LawClass/LawSingle.aspx?Pcode=H0080002&amp;FLNO=1" TargetMode="External"/><Relationship Id="rId9" Type="http://schemas.openxmlformats.org/officeDocument/2006/relationships/hyperlink" Target="http://law.moj.gov.tw/LawClass/LawSingle.aspx?Pcode=H0080002&amp;FLNO=7" TargetMode="External"/><Relationship Id="rId14" Type="http://schemas.openxmlformats.org/officeDocument/2006/relationships/hyperlink" Target="http://law.moj.gov.tw/LawClass/LawSingle.aspx?Pcode=H0080002&amp;FLNO=12" TargetMode="External"/><Relationship Id="rId22" Type="http://schemas.openxmlformats.org/officeDocument/2006/relationships/hyperlink" Target="http://law.moj.gov.tw/LawClass/LawSingle.aspx?Pcode=H0080002&amp;FLNO=20" TargetMode="External"/><Relationship Id="rId27" Type="http://schemas.openxmlformats.org/officeDocument/2006/relationships/hyperlink" Target="http://law.moj.gov.tw/LawClass/LawSingle.aspx?Pcode=H0080002&amp;FLNO=25" TargetMode="External"/><Relationship Id="rId30" Type="http://schemas.openxmlformats.org/officeDocument/2006/relationships/hyperlink" Target="http://law.moj.gov.tw/LawClass/LawSingle.aspx?Pcode=H0080002&amp;FLNO=2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2017-12-12T11:51:00Z</dcterms:created>
  <dcterms:modified xsi:type="dcterms:W3CDTF">2017-12-12T11:54:00Z</dcterms:modified>
</cp:coreProperties>
</file>