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372B56" w:rsidRDefault="0097478E">
      <w:r>
        <w:fldChar w:fldCharType="begin"/>
      </w:r>
      <w:r>
        <w:instrText xml:space="preserve"> HYPERLINK "http://www.rootlaw.com.tw/LawContent.aspx?LawID=A040080090005300-0911024" </w:instrText>
      </w:r>
      <w:r>
        <w:fldChar w:fldCharType="separate"/>
      </w:r>
      <w:r>
        <w:rPr>
          <w:rStyle w:val="a3"/>
          <w:rFonts w:ascii="Arial" w:hAnsi="Arial" w:cs="Arial"/>
          <w:color w:val="613A6E"/>
          <w:shd w:val="clear" w:color="auto" w:fill="F8F6F0"/>
        </w:rPr>
        <w:t>補習及進修教育法施行細則</w:t>
      </w:r>
      <w:r>
        <w:fldChar w:fldCharType="end"/>
      </w:r>
    </w:p>
    <w:bookmarkEnd w:id="0"/>
    <w:p w:rsidR="0097478E" w:rsidRDefault="0097478E">
      <w:pPr>
        <w:rPr>
          <w:rFonts w:ascii="Arial" w:hAnsi="Arial" w:cs="Arial"/>
          <w:color w:val="000000"/>
          <w:shd w:val="clear" w:color="auto" w:fill="F8F6F0"/>
        </w:rPr>
      </w:pPr>
      <w:r>
        <w:t xml:space="preserve">                                                         </w:t>
      </w:r>
      <w:r>
        <w:rPr>
          <w:rFonts w:ascii="Arial" w:hAnsi="Arial" w:cs="Arial"/>
          <w:color w:val="000000"/>
          <w:shd w:val="clear" w:color="auto" w:fill="F8F6F0"/>
        </w:rPr>
        <w:t>中華民國</w:t>
      </w:r>
      <w:r>
        <w:rPr>
          <w:rFonts w:ascii="Arial" w:hAnsi="Arial" w:cs="Arial"/>
          <w:color w:val="000000"/>
          <w:shd w:val="clear" w:color="auto" w:fill="F8F6F0"/>
        </w:rPr>
        <w:t>091</w:t>
      </w:r>
      <w:r>
        <w:rPr>
          <w:rFonts w:ascii="Arial" w:hAnsi="Arial" w:cs="Arial"/>
          <w:color w:val="000000"/>
          <w:shd w:val="clear" w:color="auto" w:fill="F8F6F0"/>
        </w:rPr>
        <w:t>年</w:t>
      </w:r>
      <w:r>
        <w:rPr>
          <w:rFonts w:ascii="Arial" w:hAnsi="Arial" w:cs="Arial"/>
          <w:color w:val="000000"/>
          <w:shd w:val="clear" w:color="auto" w:fill="F8F6F0"/>
        </w:rPr>
        <w:t>10</w:t>
      </w:r>
      <w:r>
        <w:rPr>
          <w:rFonts w:ascii="Arial" w:hAnsi="Arial" w:cs="Arial"/>
          <w:color w:val="000000"/>
          <w:shd w:val="clear" w:color="auto" w:fill="F8F6F0"/>
        </w:rPr>
        <w:t>月</w:t>
      </w:r>
      <w:r>
        <w:rPr>
          <w:rFonts w:ascii="Arial" w:hAnsi="Arial" w:cs="Arial"/>
          <w:color w:val="000000"/>
          <w:shd w:val="clear" w:color="auto" w:fill="F8F6F0"/>
        </w:rPr>
        <w:t>24</w:t>
      </w:r>
      <w:r>
        <w:rPr>
          <w:rFonts w:ascii="Arial" w:hAnsi="Arial" w:cs="Arial"/>
          <w:color w:val="000000"/>
          <w:shd w:val="clear" w:color="auto" w:fill="F8F6F0"/>
        </w:rPr>
        <w:t>日</w:t>
      </w:r>
    </w:p>
    <w:tbl>
      <w:tblPr>
        <w:tblW w:w="10370" w:type="dxa"/>
        <w:shd w:val="clear" w:color="auto" w:fill="FFFFFF"/>
        <w:tblCellMar>
          <w:top w:w="15" w:type="dxa"/>
          <w:left w:w="15" w:type="dxa"/>
          <w:bottom w:w="15" w:type="dxa"/>
          <w:right w:w="15" w:type="dxa"/>
        </w:tblCellMar>
        <w:tblLook w:val="04A0" w:firstRow="1" w:lastRow="0" w:firstColumn="1" w:lastColumn="0" w:noHBand="0" w:noVBand="1"/>
      </w:tblPr>
      <w:tblGrid>
        <w:gridCol w:w="10370"/>
      </w:tblGrid>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color w:val="6C591F"/>
                <w:kern w:val="0"/>
                <w:sz w:val="23"/>
                <w:szCs w:val="23"/>
              </w:rPr>
            </w:pPr>
            <w:hyperlink r:id="rId4" w:history="1">
              <w:r w:rsidRPr="0097478E">
                <w:rPr>
                  <w:rFonts w:ascii="細明體" w:eastAsia="細明體" w:hAnsi="細明體" w:cs="新細明體" w:hint="eastAsia"/>
                  <w:b/>
                  <w:bCs/>
                  <w:color w:val="613A6E"/>
                  <w:kern w:val="0"/>
                  <w:sz w:val="23"/>
                  <w:szCs w:val="23"/>
                  <w:u w:val="single"/>
                </w:rPr>
                <w:t>第一條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 xml:space="preserve">  本細則依補習及進修教育法（以下簡稱本法）第二十七條規定訂定之。</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5" w:history="1">
              <w:r w:rsidRPr="0097478E">
                <w:rPr>
                  <w:rFonts w:ascii="細明體" w:eastAsia="細明體" w:hAnsi="細明體" w:cs="新細明體" w:hint="eastAsia"/>
                  <w:b/>
                  <w:bCs/>
                  <w:color w:val="613A6E"/>
                  <w:kern w:val="0"/>
                  <w:sz w:val="23"/>
                  <w:szCs w:val="23"/>
                  <w:u w:val="single"/>
                </w:rPr>
                <w:t>第二條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專科以上進修學校，</w:t>
            </w:r>
            <w:proofErr w:type="gramStart"/>
            <w:r w:rsidRPr="0097478E">
              <w:rPr>
                <w:rFonts w:ascii="細明體" w:eastAsia="細明體" w:hAnsi="細明體" w:cs="細明體" w:hint="eastAsia"/>
                <w:color w:val="000000"/>
                <w:kern w:val="0"/>
                <w:sz w:val="23"/>
                <w:szCs w:val="23"/>
              </w:rPr>
              <w:t>採</w:t>
            </w:r>
            <w:proofErr w:type="gramEnd"/>
            <w:r w:rsidRPr="0097478E">
              <w:rPr>
                <w:rFonts w:ascii="細明體" w:eastAsia="細明體" w:hAnsi="細明體" w:cs="細明體" w:hint="eastAsia"/>
                <w:color w:val="000000"/>
                <w:kern w:val="0"/>
                <w:sz w:val="23"/>
                <w:szCs w:val="23"/>
              </w:rPr>
              <w:t>學年學分制，以每一學期授課滿十八小時為一學分，其採用函授、廣播、電視或電腦網路等方式教學之時數，得</w:t>
            </w:r>
            <w:proofErr w:type="gramStart"/>
            <w:r w:rsidRPr="0097478E">
              <w:rPr>
                <w:rFonts w:ascii="細明體" w:eastAsia="細明體" w:hAnsi="細明體" w:cs="細明體" w:hint="eastAsia"/>
                <w:color w:val="000000"/>
                <w:kern w:val="0"/>
                <w:sz w:val="23"/>
                <w:szCs w:val="23"/>
              </w:rPr>
              <w:t>併</w:t>
            </w:r>
            <w:proofErr w:type="gramEnd"/>
            <w:r w:rsidRPr="0097478E">
              <w:rPr>
                <w:rFonts w:ascii="細明體" w:eastAsia="細明體" w:hAnsi="細明體" w:cs="細明體" w:hint="eastAsia"/>
                <w:color w:val="000000"/>
                <w:kern w:val="0"/>
                <w:sz w:val="23"/>
                <w:szCs w:val="23"/>
              </w:rPr>
              <w:t>計之。</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6" w:history="1">
              <w:r w:rsidRPr="0097478E">
                <w:rPr>
                  <w:rFonts w:ascii="細明體" w:eastAsia="細明體" w:hAnsi="細明體" w:cs="新細明體" w:hint="eastAsia"/>
                  <w:b/>
                  <w:bCs/>
                  <w:color w:val="613A6E"/>
                  <w:kern w:val="0"/>
                  <w:sz w:val="23"/>
                  <w:szCs w:val="23"/>
                  <w:u w:val="single"/>
                </w:rPr>
                <w:t>第三條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hint="eastAsia"/>
                <w:color w:val="000000"/>
                <w:kern w:val="0"/>
                <w:sz w:val="23"/>
                <w:szCs w:val="23"/>
              </w:rPr>
            </w:pPr>
            <w:r w:rsidRPr="0097478E">
              <w:rPr>
                <w:rFonts w:ascii="細明體" w:eastAsia="細明體" w:hAnsi="細明體" w:cs="細明體" w:hint="eastAsia"/>
                <w:color w:val="000000"/>
                <w:kern w:val="0"/>
                <w:sz w:val="23"/>
                <w:szCs w:val="23"/>
              </w:rPr>
              <w:t xml:space="preserve">  依本法第十三條第一項所定國民中學補習學校及各級進修學校新生入學資格如下：</w:t>
            </w:r>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 w:left="696" w:hangingChars="307" w:hanging="706"/>
              <w:rPr>
                <w:rFonts w:ascii="細明體" w:eastAsia="細明體" w:hAnsi="細明體" w:cs="細明體" w:hint="eastAsia"/>
                <w:color w:val="000000"/>
                <w:kern w:val="0"/>
                <w:sz w:val="23"/>
                <w:szCs w:val="23"/>
              </w:rPr>
            </w:pPr>
            <w:r w:rsidRPr="0097478E">
              <w:rPr>
                <w:rFonts w:ascii="細明體" w:eastAsia="細明體" w:hAnsi="細明體" w:cs="細明體" w:hint="eastAsia"/>
                <w:color w:val="000000"/>
                <w:kern w:val="0"/>
                <w:sz w:val="23"/>
                <w:szCs w:val="23"/>
              </w:rPr>
              <w:t xml:space="preserve">  一、國民中學補習學校：須年滿十五歲，並具有國民小學畢業或經自學進修學力鑑定考試及格或同等學力資格。</w:t>
            </w:r>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 xml:space="preserve">  二、各級進修學校：比照同級、同類學校之有關規定。</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7" w:history="1">
              <w:r w:rsidRPr="0097478E">
                <w:rPr>
                  <w:rFonts w:ascii="細明體" w:eastAsia="細明體" w:hAnsi="細明體" w:cs="新細明體" w:hint="eastAsia"/>
                  <w:b/>
                  <w:bCs/>
                  <w:color w:val="613A6E"/>
                  <w:kern w:val="0"/>
                  <w:sz w:val="23"/>
                  <w:szCs w:val="23"/>
                  <w:u w:val="single"/>
                </w:rPr>
                <w:t>第四條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 xml:space="preserve">  國民小學補習學校新生，得由學校編入與其程度相銜接之部、級就讀。</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8" w:history="1">
              <w:r w:rsidRPr="0097478E">
                <w:rPr>
                  <w:rFonts w:ascii="細明體" w:eastAsia="細明體" w:hAnsi="細明體" w:cs="新細明體" w:hint="eastAsia"/>
                  <w:b/>
                  <w:bCs/>
                  <w:color w:val="613A6E"/>
                  <w:kern w:val="0"/>
                  <w:sz w:val="23"/>
                  <w:szCs w:val="23"/>
                  <w:u w:val="single"/>
                </w:rPr>
                <w:t>第五條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 xml:space="preserve">  各級國民補習學校及進修學校依本法第十三條第二項自行訂定之招生注意事項，應報請該管主管教育行政機關備查。</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9" w:history="1">
              <w:r w:rsidRPr="0097478E">
                <w:rPr>
                  <w:rFonts w:ascii="細明體" w:eastAsia="細明體" w:hAnsi="細明體" w:cs="新細明體" w:hint="eastAsia"/>
                  <w:b/>
                  <w:bCs/>
                  <w:color w:val="613A6E"/>
                  <w:kern w:val="0"/>
                  <w:sz w:val="23"/>
                  <w:szCs w:val="23"/>
                  <w:u w:val="single"/>
                </w:rPr>
                <w:t>第六條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 xml:space="preserve">  各級國民補習學校及進修學校為招收依本法第十六條規定轉學之學生，應自行訂定相關規定，報請該管主管教育行政機關備查。</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10" w:history="1">
              <w:r w:rsidRPr="0097478E">
                <w:rPr>
                  <w:rFonts w:ascii="細明體" w:eastAsia="細明體" w:hAnsi="細明體" w:cs="新細明體" w:hint="eastAsia"/>
                  <w:b/>
                  <w:bCs/>
                  <w:color w:val="613A6E"/>
                  <w:kern w:val="0"/>
                  <w:sz w:val="23"/>
                  <w:szCs w:val="23"/>
                  <w:u w:val="single"/>
                </w:rPr>
                <w:t>第七條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 xml:space="preserve">  各級國民補習學校及進修學校，其教務、學生事務（訓導）、總務及輔導等工作，得由原屬學校之人員兼辦或依聘僱相關法規進用之人員辦理  。</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11" w:history="1">
              <w:r w:rsidRPr="0097478E">
                <w:rPr>
                  <w:rFonts w:ascii="細明體" w:eastAsia="細明體" w:hAnsi="細明體" w:cs="新細明體" w:hint="eastAsia"/>
                  <w:b/>
                  <w:bCs/>
                  <w:color w:val="613A6E"/>
                  <w:kern w:val="0"/>
                  <w:sz w:val="23"/>
                  <w:szCs w:val="23"/>
                  <w:u w:val="single"/>
                </w:rPr>
                <w:t>第八條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 xml:space="preserve">  （刪除）</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12" w:history="1">
              <w:r w:rsidRPr="0097478E">
                <w:rPr>
                  <w:rFonts w:ascii="細明體" w:eastAsia="細明體" w:hAnsi="細明體" w:cs="新細明體" w:hint="eastAsia"/>
                  <w:b/>
                  <w:bCs/>
                  <w:color w:val="613A6E"/>
                  <w:kern w:val="0"/>
                  <w:sz w:val="23"/>
                  <w:szCs w:val="23"/>
                  <w:u w:val="single"/>
                </w:rPr>
                <w:t>第九條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hint="eastAsia"/>
                <w:color w:val="000000"/>
                <w:kern w:val="0"/>
                <w:sz w:val="23"/>
                <w:szCs w:val="23"/>
              </w:rPr>
            </w:pPr>
            <w:r w:rsidRPr="0097478E">
              <w:rPr>
                <w:rFonts w:ascii="細明體" w:eastAsia="細明體" w:hAnsi="細明體" w:cs="細明體" w:hint="eastAsia"/>
                <w:color w:val="000000"/>
                <w:kern w:val="0"/>
                <w:sz w:val="23"/>
                <w:szCs w:val="23"/>
              </w:rPr>
              <w:t xml:space="preserve">  本法第二十條規定專科以上學校辦理之推廣教育，依大學法、專科學校法之規定。</w:t>
            </w:r>
          </w:p>
        </w:tc>
      </w:tr>
      <w:tr w:rsidR="0097478E" w:rsidRPr="0097478E" w:rsidTr="0097478E">
        <w:tc>
          <w:tcPr>
            <w:tcW w:w="0" w:type="auto"/>
            <w:shd w:val="clear" w:color="auto" w:fill="FFFFFF"/>
            <w:hideMark/>
          </w:tcPr>
          <w:p w:rsidR="0097478E" w:rsidRPr="0097478E" w:rsidRDefault="0097478E" w:rsidP="0097478E">
            <w:pPr>
              <w:widowControl/>
              <w:rPr>
                <w:rFonts w:ascii="細明體" w:eastAsia="細明體" w:hAnsi="細明體" w:cs="新細明體" w:hint="eastAsia"/>
                <w:color w:val="6C591F"/>
                <w:kern w:val="0"/>
                <w:sz w:val="23"/>
                <w:szCs w:val="23"/>
              </w:rPr>
            </w:pPr>
            <w:hyperlink r:id="rId13" w:history="1">
              <w:r w:rsidRPr="0097478E">
                <w:rPr>
                  <w:rFonts w:ascii="細明體" w:eastAsia="細明體" w:hAnsi="細明體" w:cs="新細明體" w:hint="eastAsia"/>
                  <w:b/>
                  <w:bCs/>
                  <w:color w:val="613A6E"/>
                  <w:kern w:val="0"/>
                  <w:sz w:val="23"/>
                  <w:szCs w:val="23"/>
                  <w:u w:val="single"/>
                </w:rPr>
                <w:t>第十條</w:t>
              </w:r>
            </w:hyperlink>
          </w:p>
          <w:p w:rsidR="0097478E" w:rsidRPr="0097478E" w:rsidRDefault="0097478E" w:rsidP="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hint="eastAsia"/>
                <w:color w:val="000000"/>
                <w:kern w:val="0"/>
                <w:sz w:val="23"/>
                <w:szCs w:val="23"/>
              </w:rPr>
            </w:pPr>
            <w:r w:rsidRPr="0097478E">
              <w:rPr>
                <w:rFonts w:ascii="細明體" w:eastAsia="細明體" w:hAnsi="細明體" w:cs="細明體" w:hint="eastAsia"/>
                <w:color w:val="000000"/>
                <w:kern w:val="0"/>
                <w:sz w:val="23"/>
                <w:szCs w:val="23"/>
              </w:rPr>
              <w:t xml:space="preserve">  本細則自發布日施行。</w:t>
            </w:r>
          </w:p>
        </w:tc>
      </w:tr>
    </w:tbl>
    <w:p w:rsidR="0097478E" w:rsidRPr="0097478E" w:rsidRDefault="0097478E">
      <w:pPr>
        <w:rPr>
          <w:rFonts w:hint="eastAsia"/>
        </w:rPr>
      </w:pPr>
    </w:p>
    <w:sectPr w:rsidR="0097478E" w:rsidRPr="0097478E" w:rsidSect="0097478E">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8E"/>
    <w:rsid w:val="00372B56"/>
    <w:rsid w:val="009747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55A4"/>
  <w15:chartTrackingRefBased/>
  <w15:docId w15:val="{70E6A3F0-3146-4671-A570-7B3035B5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478E"/>
    <w:rPr>
      <w:color w:val="0000FF"/>
      <w:u w:val="single"/>
    </w:rPr>
  </w:style>
  <w:style w:type="paragraph" w:styleId="a4">
    <w:name w:val="Date"/>
    <w:basedOn w:val="a"/>
    <w:next w:val="a"/>
    <w:link w:val="a5"/>
    <w:uiPriority w:val="99"/>
    <w:semiHidden/>
    <w:unhideWhenUsed/>
    <w:rsid w:val="0097478E"/>
    <w:pPr>
      <w:jc w:val="right"/>
    </w:pPr>
  </w:style>
  <w:style w:type="character" w:customStyle="1" w:styleId="a5">
    <w:name w:val="日期 字元"/>
    <w:basedOn w:val="a0"/>
    <w:link w:val="a4"/>
    <w:uiPriority w:val="99"/>
    <w:semiHidden/>
    <w:rsid w:val="0097478E"/>
  </w:style>
  <w:style w:type="paragraph" w:styleId="HTML">
    <w:name w:val="HTML Preformatted"/>
    <w:basedOn w:val="a"/>
    <w:link w:val="HTML0"/>
    <w:uiPriority w:val="99"/>
    <w:semiHidden/>
    <w:unhideWhenUsed/>
    <w:rsid w:val="0097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7478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5093">
      <w:bodyDiv w:val="1"/>
      <w:marLeft w:val="0"/>
      <w:marRight w:val="0"/>
      <w:marTop w:val="0"/>
      <w:marBottom w:val="0"/>
      <w:divBdr>
        <w:top w:val="none" w:sz="0" w:space="0" w:color="auto"/>
        <w:left w:val="none" w:sz="0" w:space="0" w:color="auto"/>
        <w:bottom w:val="none" w:sz="0" w:space="0" w:color="auto"/>
        <w:right w:val="none" w:sz="0" w:space="0" w:color="auto"/>
      </w:divBdr>
      <w:divsChild>
        <w:div w:id="904336169">
          <w:marLeft w:val="0"/>
          <w:marRight w:val="0"/>
          <w:marTop w:val="150"/>
          <w:marBottom w:val="150"/>
          <w:divBdr>
            <w:top w:val="none" w:sz="0" w:space="0" w:color="auto"/>
            <w:left w:val="none" w:sz="0" w:space="0" w:color="auto"/>
            <w:bottom w:val="none" w:sz="0" w:space="0" w:color="auto"/>
            <w:right w:val="none" w:sz="0" w:space="0" w:color="auto"/>
          </w:divBdr>
        </w:div>
        <w:div w:id="302394428">
          <w:marLeft w:val="0"/>
          <w:marRight w:val="0"/>
          <w:marTop w:val="150"/>
          <w:marBottom w:val="150"/>
          <w:divBdr>
            <w:top w:val="none" w:sz="0" w:space="0" w:color="auto"/>
            <w:left w:val="none" w:sz="0" w:space="0" w:color="auto"/>
            <w:bottom w:val="none" w:sz="0" w:space="0" w:color="auto"/>
            <w:right w:val="none" w:sz="0" w:space="0" w:color="auto"/>
          </w:divBdr>
        </w:div>
        <w:div w:id="2132897675">
          <w:marLeft w:val="0"/>
          <w:marRight w:val="0"/>
          <w:marTop w:val="150"/>
          <w:marBottom w:val="150"/>
          <w:divBdr>
            <w:top w:val="none" w:sz="0" w:space="0" w:color="auto"/>
            <w:left w:val="none" w:sz="0" w:space="0" w:color="auto"/>
            <w:bottom w:val="none" w:sz="0" w:space="0" w:color="auto"/>
            <w:right w:val="none" w:sz="0" w:space="0" w:color="auto"/>
          </w:divBdr>
        </w:div>
        <w:div w:id="1061560836">
          <w:marLeft w:val="0"/>
          <w:marRight w:val="0"/>
          <w:marTop w:val="150"/>
          <w:marBottom w:val="150"/>
          <w:divBdr>
            <w:top w:val="none" w:sz="0" w:space="0" w:color="auto"/>
            <w:left w:val="none" w:sz="0" w:space="0" w:color="auto"/>
            <w:bottom w:val="none" w:sz="0" w:space="0" w:color="auto"/>
            <w:right w:val="none" w:sz="0" w:space="0" w:color="auto"/>
          </w:divBdr>
        </w:div>
        <w:div w:id="2077700721">
          <w:marLeft w:val="0"/>
          <w:marRight w:val="0"/>
          <w:marTop w:val="150"/>
          <w:marBottom w:val="150"/>
          <w:divBdr>
            <w:top w:val="none" w:sz="0" w:space="0" w:color="auto"/>
            <w:left w:val="none" w:sz="0" w:space="0" w:color="auto"/>
            <w:bottom w:val="none" w:sz="0" w:space="0" w:color="auto"/>
            <w:right w:val="none" w:sz="0" w:space="0" w:color="auto"/>
          </w:divBdr>
        </w:div>
        <w:div w:id="630285074">
          <w:marLeft w:val="0"/>
          <w:marRight w:val="0"/>
          <w:marTop w:val="150"/>
          <w:marBottom w:val="150"/>
          <w:divBdr>
            <w:top w:val="none" w:sz="0" w:space="0" w:color="auto"/>
            <w:left w:val="none" w:sz="0" w:space="0" w:color="auto"/>
            <w:bottom w:val="none" w:sz="0" w:space="0" w:color="auto"/>
            <w:right w:val="none" w:sz="0" w:space="0" w:color="auto"/>
          </w:divBdr>
        </w:div>
        <w:div w:id="1643804882">
          <w:marLeft w:val="0"/>
          <w:marRight w:val="0"/>
          <w:marTop w:val="150"/>
          <w:marBottom w:val="150"/>
          <w:divBdr>
            <w:top w:val="none" w:sz="0" w:space="0" w:color="auto"/>
            <w:left w:val="none" w:sz="0" w:space="0" w:color="auto"/>
            <w:bottom w:val="none" w:sz="0" w:space="0" w:color="auto"/>
            <w:right w:val="none" w:sz="0" w:space="0" w:color="auto"/>
          </w:divBdr>
        </w:div>
        <w:div w:id="1250118059">
          <w:marLeft w:val="0"/>
          <w:marRight w:val="0"/>
          <w:marTop w:val="150"/>
          <w:marBottom w:val="150"/>
          <w:divBdr>
            <w:top w:val="none" w:sz="0" w:space="0" w:color="auto"/>
            <w:left w:val="none" w:sz="0" w:space="0" w:color="auto"/>
            <w:bottom w:val="none" w:sz="0" w:space="0" w:color="auto"/>
            <w:right w:val="none" w:sz="0" w:space="0" w:color="auto"/>
          </w:divBdr>
        </w:div>
        <w:div w:id="905845657">
          <w:marLeft w:val="0"/>
          <w:marRight w:val="0"/>
          <w:marTop w:val="150"/>
          <w:marBottom w:val="150"/>
          <w:divBdr>
            <w:top w:val="none" w:sz="0" w:space="0" w:color="auto"/>
            <w:left w:val="none" w:sz="0" w:space="0" w:color="auto"/>
            <w:bottom w:val="none" w:sz="0" w:space="0" w:color="auto"/>
            <w:right w:val="none" w:sz="0" w:space="0" w:color="auto"/>
          </w:divBdr>
        </w:div>
        <w:div w:id="15054373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law.com.tw/LawArticle.aspx?LawID=A040080090005300-0911024&amp;ShowType=Ref&amp;FLNO=5000" TargetMode="External"/><Relationship Id="rId13" Type="http://schemas.openxmlformats.org/officeDocument/2006/relationships/hyperlink" Target="http://www.rootlaw.com.tw/LawArticle.aspx?LawID=A040080090005300-0911024&amp;ShowType=Ref&amp;FLNO=10000" TargetMode="External"/><Relationship Id="rId3" Type="http://schemas.openxmlformats.org/officeDocument/2006/relationships/webSettings" Target="webSettings.xml"/><Relationship Id="rId7" Type="http://schemas.openxmlformats.org/officeDocument/2006/relationships/hyperlink" Target="http://www.rootlaw.com.tw/LawArticle.aspx?LawID=A040080090005300-0911024&amp;ShowType=Ref&amp;FLNO=4000" TargetMode="External"/><Relationship Id="rId12" Type="http://schemas.openxmlformats.org/officeDocument/2006/relationships/hyperlink" Target="http://www.rootlaw.com.tw/LawArticle.aspx?LawID=A040080090005300-0911024&amp;ShowType=Ref&amp;FLNO=9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otlaw.com.tw/LawArticle.aspx?LawID=A040080090005300-0911024&amp;ShowType=Ref&amp;FLNO=3000" TargetMode="External"/><Relationship Id="rId11" Type="http://schemas.openxmlformats.org/officeDocument/2006/relationships/hyperlink" Target="http://www.rootlaw.com.tw/LawArticle.aspx?LawID=A040080090005300-0911024&amp;ShowType=Ref&amp;FLNO=8000" TargetMode="External"/><Relationship Id="rId5" Type="http://schemas.openxmlformats.org/officeDocument/2006/relationships/hyperlink" Target="http://www.rootlaw.com.tw/LawArticle.aspx?LawID=A040080090005300-0911024&amp;ShowType=Ref&amp;FLNO=2000" TargetMode="External"/><Relationship Id="rId15" Type="http://schemas.openxmlformats.org/officeDocument/2006/relationships/theme" Target="theme/theme1.xml"/><Relationship Id="rId10" Type="http://schemas.openxmlformats.org/officeDocument/2006/relationships/hyperlink" Target="http://www.rootlaw.com.tw/LawArticle.aspx?LawID=A040080090005300-0911024&amp;ShowType=Ref&amp;FLNO=7000" TargetMode="External"/><Relationship Id="rId4" Type="http://schemas.openxmlformats.org/officeDocument/2006/relationships/hyperlink" Target="http://www.rootlaw.com.tw/LawArticle.aspx?LawID=A040080090005300-0911024&amp;ShowType=Ref&amp;FLNO=1000" TargetMode="External"/><Relationship Id="rId9" Type="http://schemas.openxmlformats.org/officeDocument/2006/relationships/hyperlink" Target="http://www.rootlaw.com.tw/LawArticle.aspx?LawID=A040080090005300-0911024&amp;ShowType=Ref&amp;FLNO=600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2017-12-12T12:28:00Z</dcterms:created>
  <dcterms:modified xsi:type="dcterms:W3CDTF">2017-12-12T12:32:00Z</dcterms:modified>
</cp:coreProperties>
</file>