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D62" w:rsidRDefault="0063614D">
      <w:r>
        <w:fldChar w:fldCharType="begin"/>
      </w:r>
      <w:r>
        <w:instrText xml:space="preserve"> HYPERLINK "http://law.moj.gov.tw/LawClass/LawContentIf.aspx?PCODE=H0060050" </w:instrText>
      </w:r>
      <w:r>
        <w:fldChar w:fldCharType="separate"/>
      </w:r>
      <w:r>
        <w:rPr>
          <w:rStyle w:val="a3"/>
          <w:color w:val="3366FF"/>
          <w:sz w:val="23"/>
          <w:szCs w:val="23"/>
          <w:bdr w:val="none" w:sz="0" w:space="0" w:color="auto" w:frame="1"/>
          <w:shd w:val="clear" w:color="auto" w:fill="FFFFFF"/>
        </w:rPr>
        <w:t>高級中等教育法施行細則</w:t>
      </w:r>
      <w:r>
        <w:fldChar w:fldCharType="end"/>
      </w:r>
      <w:r w:rsidR="00806D62">
        <w:t xml:space="preserve"> </w:t>
      </w:r>
    </w:p>
    <w:p w:rsidR="004A6376" w:rsidRDefault="00806D62" w:rsidP="00806D62">
      <w:pPr>
        <w:ind w:firstLineChars="2900" w:firstLine="6670"/>
      </w:pPr>
      <w:r>
        <w:rPr>
          <w:color w:val="000000"/>
          <w:sz w:val="23"/>
          <w:szCs w:val="23"/>
          <w:shd w:val="clear" w:color="auto" w:fill="FFFFFF"/>
        </w:rPr>
        <w:t>民國</w:t>
      </w:r>
      <w:r>
        <w:rPr>
          <w:color w:val="000000"/>
          <w:sz w:val="23"/>
          <w:szCs w:val="23"/>
          <w:shd w:val="clear" w:color="auto" w:fill="FFFFFF"/>
        </w:rPr>
        <w:t xml:space="preserve"> 102 </w:t>
      </w:r>
      <w:r>
        <w:rPr>
          <w:color w:val="000000"/>
          <w:sz w:val="23"/>
          <w:szCs w:val="23"/>
          <w:shd w:val="clear" w:color="auto" w:fill="FFFFFF"/>
        </w:rPr>
        <w:t>年</w:t>
      </w:r>
      <w:r>
        <w:rPr>
          <w:color w:val="000000"/>
          <w:sz w:val="23"/>
          <w:szCs w:val="23"/>
          <w:shd w:val="clear" w:color="auto" w:fill="FFFFFF"/>
        </w:rPr>
        <w:t xml:space="preserve"> 12 </w:t>
      </w:r>
      <w:r>
        <w:rPr>
          <w:color w:val="000000"/>
          <w:sz w:val="23"/>
          <w:szCs w:val="23"/>
          <w:shd w:val="clear" w:color="auto" w:fill="FFFFFF"/>
        </w:rPr>
        <w:t>月</w:t>
      </w:r>
      <w:r>
        <w:rPr>
          <w:color w:val="000000"/>
          <w:sz w:val="23"/>
          <w:szCs w:val="23"/>
          <w:shd w:val="clear" w:color="auto" w:fill="FFFFFF"/>
        </w:rPr>
        <w:t xml:space="preserve"> 27 </w:t>
      </w:r>
      <w:r>
        <w:rPr>
          <w:color w:val="000000"/>
          <w:sz w:val="23"/>
          <w:szCs w:val="23"/>
          <w:shd w:val="clear" w:color="auto" w:fill="FFFFFF"/>
        </w:rPr>
        <w:t>日</w:t>
      </w:r>
    </w:p>
    <w:tbl>
      <w:tblPr>
        <w:tblW w:w="4992" w:type="pct"/>
        <w:jc w:val="center"/>
        <w:tblBorders>
          <w:top w:val="single" w:sz="6" w:space="0" w:color="3F67A5"/>
          <w:left w:val="single" w:sz="6" w:space="0" w:color="3F67A5"/>
          <w:bottom w:val="single" w:sz="6" w:space="0" w:color="3F67A5"/>
          <w:right w:val="single" w:sz="6" w:space="0" w:color="3F67A5"/>
        </w:tblBorders>
        <w:shd w:val="clear" w:color="auto" w:fill="FFFFFF"/>
        <w:tblCellMar>
          <w:top w:w="45" w:type="dxa"/>
          <w:left w:w="45" w:type="dxa"/>
          <w:bottom w:w="45" w:type="dxa"/>
          <w:right w:w="45" w:type="dxa"/>
        </w:tblCellMar>
        <w:tblLook w:val="04A0" w:firstRow="1" w:lastRow="0" w:firstColumn="1" w:lastColumn="0" w:noHBand="0" w:noVBand="1"/>
      </w:tblPr>
      <w:tblGrid>
        <w:gridCol w:w="9623"/>
      </w:tblGrid>
      <w:tr w:rsidR="0063614D" w:rsidRPr="0063614D" w:rsidTr="0063614D">
        <w:trPr>
          <w:jc w:val="center"/>
        </w:trPr>
        <w:tc>
          <w:tcPr>
            <w:tcW w:w="0" w:type="auto"/>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tbl>
            <w:tblPr>
              <w:tblW w:w="4250" w:type="pct"/>
              <w:jc w:val="center"/>
              <w:tblCellMar>
                <w:top w:w="45" w:type="dxa"/>
                <w:left w:w="45" w:type="dxa"/>
                <w:bottom w:w="45" w:type="dxa"/>
                <w:right w:w="45" w:type="dxa"/>
              </w:tblCellMar>
              <w:tblLook w:val="04A0" w:firstRow="1" w:lastRow="0" w:firstColumn="1" w:lastColumn="0" w:noHBand="0" w:noVBand="1"/>
            </w:tblPr>
            <w:tblGrid>
              <w:gridCol w:w="1110"/>
              <w:gridCol w:w="270"/>
              <w:gridCol w:w="6672"/>
            </w:tblGrid>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4" w:history="1">
                    <w:r w:rsidR="0063614D" w:rsidRPr="0063614D">
                      <w:rPr>
                        <w:rFonts w:ascii="細明體" w:eastAsia="細明體" w:hAnsi="細明體" w:cs="新細明體" w:hint="eastAsia"/>
                        <w:color w:val="3366FF"/>
                        <w:kern w:val="0"/>
                        <w:szCs w:val="24"/>
                        <w:u w:val="single"/>
                        <w:bdr w:val="none" w:sz="0" w:space="0" w:color="auto" w:frame="1"/>
                      </w:rPr>
                      <w:t>第 1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本細則依高級中等教育法（以下簡稱本法）第六十六條規定訂定之。</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5" w:history="1">
                    <w:r w:rsidR="0063614D" w:rsidRPr="0063614D">
                      <w:rPr>
                        <w:rFonts w:ascii="細明體" w:eastAsia="細明體" w:hAnsi="細明體" w:cs="新細明體" w:hint="eastAsia"/>
                        <w:color w:val="3366FF"/>
                        <w:kern w:val="0"/>
                        <w:szCs w:val="24"/>
                        <w:u w:val="single"/>
                        <w:bdr w:val="none" w:sz="0" w:space="0" w:color="auto" w:frame="1"/>
                      </w:rPr>
                      <w:t>第 2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本法施行前已設立之高級中等學校，依本法第九條第三項規定沿用原校名者，於本法施行後有變更類型、</w:t>
                  </w:r>
                  <w:proofErr w:type="gramStart"/>
                  <w:r w:rsidRPr="0063614D">
                    <w:rPr>
                      <w:rFonts w:ascii="細明體" w:eastAsia="細明體" w:hAnsi="細明體" w:cs="細明體" w:hint="eastAsia"/>
                      <w:kern w:val="0"/>
                      <w:sz w:val="23"/>
                      <w:szCs w:val="23"/>
                    </w:rPr>
                    <w:t>群科類別</w:t>
                  </w:r>
                  <w:proofErr w:type="gramEnd"/>
                  <w:r w:rsidRPr="0063614D">
                    <w:rPr>
                      <w:rFonts w:ascii="細明體" w:eastAsia="細明體" w:hAnsi="細明體" w:cs="細明體" w:hint="eastAsia"/>
                      <w:kern w:val="0"/>
                      <w:sz w:val="23"/>
                      <w:szCs w:val="23"/>
                    </w:rPr>
                    <w:t>，或學校合併、改制時，應依本法第九條第一項及第二項規定，變更名稱。</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6" w:history="1">
                    <w:r w:rsidR="0063614D" w:rsidRPr="0063614D">
                      <w:rPr>
                        <w:rFonts w:ascii="細明體" w:eastAsia="細明體" w:hAnsi="細明體" w:cs="新細明體" w:hint="eastAsia"/>
                        <w:color w:val="3366FF"/>
                        <w:kern w:val="0"/>
                        <w:szCs w:val="24"/>
                        <w:u w:val="single"/>
                        <w:bdr w:val="none" w:sz="0" w:space="0" w:color="auto" w:frame="1"/>
                      </w:rPr>
                      <w:t>第 3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現職公立高級中等學校校長，依本法第十五條第一項規定，經各該主管機關逕行分發學校任教者，由受分發學校校長直接發給教師聘書。</w:t>
                  </w:r>
                  <w:proofErr w:type="gramStart"/>
                  <w:r w:rsidRPr="0063614D">
                    <w:rPr>
                      <w:rFonts w:ascii="細明體" w:eastAsia="細明體" w:hAnsi="細明體" w:cs="細明體" w:hint="eastAsia"/>
                      <w:kern w:val="0"/>
                      <w:sz w:val="23"/>
                      <w:szCs w:val="23"/>
                    </w:rPr>
                    <w:t>但聘期</w:t>
                  </w:r>
                  <w:proofErr w:type="gramEnd"/>
                  <w:r w:rsidRPr="0063614D">
                    <w:rPr>
                      <w:rFonts w:ascii="細明體" w:eastAsia="細明體" w:hAnsi="細明體" w:cs="細明體" w:hint="eastAsia"/>
                      <w:kern w:val="0"/>
                      <w:sz w:val="23"/>
                      <w:szCs w:val="23"/>
                    </w:rPr>
                    <w:t>屆滿之續聘，應依教師法之規定辦理。</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7" w:history="1">
                    <w:r w:rsidR="0063614D" w:rsidRPr="0063614D">
                      <w:rPr>
                        <w:rFonts w:ascii="細明體" w:eastAsia="細明體" w:hAnsi="細明體" w:cs="新細明體" w:hint="eastAsia"/>
                        <w:color w:val="3366FF"/>
                        <w:kern w:val="0"/>
                        <w:szCs w:val="24"/>
                        <w:u w:val="single"/>
                        <w:bdr w:val="none" w:sz="0" w:space="0" w:color="auto" w:frame="1"/>
                      </w:rPr>
                      <w:t>第 4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高級中等學校依本法第十九條規定置副校長者，除襄助校長推動校務外，其具有教師資格者，得經校長同意，在校外兼課。</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8" w:history="1">
                    <w:r w:rsidR="0063614D" w:rsidRPr="0063614D">
                      <w:rPr>
                        <w:rFonts w:ascii="細明體" w:eastAsia="細明體" w:hAnsi="細明體" w:cs="新細明體" w:hint="eastAsia"/>
                        <w:color w:val="3366FF"/>
                        <w:kern w:val="0"/>
                        <w:szCs w:val="24"/>
                        <w:u w:val="single"/>
                        <w:bdr w:val="none" w:sz="0" w:space="0" w:color="auto" w:frame="1"/>
                      </w:rPr>
                      <w:t>第 5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高級中等學校依本法第二十六條規定設有學科、</w:t>
                  </w:r>
                  <w:proofErr w:type="gramStart"/>
                  <w:r w:rsidRPr="0063614D">
                    <w:rPr>
                      <w:rFonts w:ascii="細明體" w:eastAsia="細明體" w:hAnsi="細明體" w:cs="細明體" w:hint="eastAsia"/>
                      <w:kern w:val="0"/>
                      <w:sz w:val="23"/>
                      <w:szCs w:val="23"/>
                    </w:rPr>
                    <w:t>群科教學</w:t>
                  </w:r>
                  <w:proofErr w:type="gramEnd"/>
                  <w:r w:rsidRPr="0063614D">
                    <w:rPr>
                      <w:rFonts w:ascii="細明體" w:eastAsia="細明體" w:hAnsi="細明體" w:cs="細明體" w:hint="eastAsia"/>
                      <w:kern w:val="0"/>
                      <w:sz w:val="23"/>
                      <w:szCs w:val="23"/>
                    </w:rPr>
                    <w:t>研究委員會者，置召集人一人，負責協調教師進行研究、改進教材教法、推展教學活動，並得減少每週基本教學節數。</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9" w:history="1">
                    <w:r w:rsidR="0063614D" w:rsidRPr="0063614D">
                      <w:rPr>
                        <w:rFonts w:ascii="細明體" w:eastAsia="細明體" w:hAnsi="細明體" w:cs="新細明體" w:hint="eastAsia"/>
                        <w:color w:val="3366FF"/>
                        <w:kern w:val="0"/>
                        <w:szCs w:val="24"/>
                        <w:u w:val="single"/>
                        <w:bdr w:val="none" w:sz="0" w:space="0" w:color="auto" w:frame="1"/>
                      </w:rPr>
                      <w:t>第 6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本法第三十六條第一項所稱私立高級中等學校學生不適用本法第五十六條免學費之規定者，指依本法第三十五條第六項規定，經各該主管機關核定，辦理單獨招生之私立高級中等學校所招收之學生。但依本法第三十五條第六項但書所定名額免試入學之學生，不包括在內。</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10" w:history="1">
                    <w:r w:rsidR="0063614D" w:rsidRPr="0063614D">
                      <w:rPr>
                        <w:rFonts w:ascii="細明體" w:eastAsia="細明體" w:hAnsi="細明體" w:cs="新細明體" w:hint="eastAsia"/>
                        <w:color w:val="3366FF"/>
                        <w:kern w:val="0"/>
                        <w:szCs w:val="24"/>
                        <w:u w:val="single"/>
                        <w:bdr w:val="none" w:sz="0" w:space="0" w:color="auto" w:frame="1"/>
                      </w:rPr>
                      <w:t>第 7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高級中等學校依課程進度，</w:t>
                  </w:r>
                  <w:proofErr w:type="gramStart"/>
                  <w:r w:rsidRPr="0063614D">
                    <w:rPr>
                      <w:rFonts w:ascii="細明體" w:eastAsia="細明體" w:hAnsi="細明體" w:cs="細明體" w:hint="eastAsia"/>
                      <w:kern w:val="0"/>
                      <w:sz w:val="23"/>
                      <w:szCs w:val="23"/>
                    </w:rPr>
                    <w:t>分年級</w:t>
                  </w:r>
                  <w:proofErr w:type="gramEnd"/>
                  <w:r w:rsidRPr="0063614D">
                    <w:rPr>
                      <w:rFonts w:ascii="細明體" w:eastAsia="細明體" w:hAnsi="細明體" w:cs="細明體" w:hint="eastAsia"/>
                      <w:kern w:val="0"/>
                      <w:sz w:val="23"/>
                      <w:szCs w:val="23"/>
                    </w:rPr>
                    <w:t>實施教學；每班學生人數，以二十五人至四十五人為限。但情形特殊，經各該主管機關核定者，不在此限。</w:t>
                  </w:r>
                </w:p>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高級中等學校新開辦第一年，不得招收二年級以上學生，第二年不得招收</w:t>
                  </w:r>
                  <w:proofErr w:type="gramStart"/>
                  <w:r w:rsidRPr="0063614D">
                    <w:rPr>
                      <w:rFonts w:ascii="細明體" w:eastAsia="細明體" w:hAnsi="細明體" w:cs="細明體" w:hint="eastAsia"/>
                      <w:kern w:val="0"/>
                      <w:sz w:val="23"/>
                      <w:szCs w:val="23"/>
                    </w:rPr>
                    <w:t>三</w:t>
                  </w:r>
                  <w:proofErr w:type="gramEnd"/>
                  <w:r w:rsidRPr="0063614D">
                    <w:rPr>
                      <w:rFonts w:ascii="細明體" w:eastAsia="細明體" w:hAnsi="細明體" w:cs="細明體" w:hint="eastAsia"/>
                      <w:kern w:val="0"/>
                      <w:sz w:val="23"/>
                      <w:szCs w:val="23"/>
                    </w:rPr>
                    <w:t>年級學生。</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11" w:history="1">
                    <w:r w:rsidR="0063614D" w:rsidRPr="0063614D">
                      <w:rPr>
                        <w:rFonts w:ascii="細明體" w:eastAsia="細明體" w:hAnsi="細明體" w:cs="新細明體" w:hint="eastAsia"/>
                        <w:color w:val="3366FF"/>
                        <w:kern w:val="0"/>
                        <w:szCs w:val="24"/>
                        <w:u w:val="single"/>
                        <w:bdr w:val="none" w:sz="0" w:space="0" w:color="auto" w:frame="1"/>
                      </w:rPr>
                      <w:t>第 8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高級中等學校除依本法第四十八條規定，公開選用民間編定經國家教育研究院審定或中央主管機關編定之教科用書外，得依高級中等學校課程綱要及其實施之有關規定，自編補充教材。</w:t>
                  </w:r>
                </w:p>
                <w:p w:rsidR="0063614D" w:rsidRPr="0063614D" w:rsidRDefault="0063614D" w:rsidP="0063614D">
                  <w:pPr>
                    <w:widowControl/>
                    <w:rPr>
                      <w:rFonts w:ascii="細明體" w:eastAsia="細明體" w:hAnsi="細明體" w:cs="新細明體"/>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12" w:history="1">
                    <w:r w:rsidR="0063614D" w:rsidRPr="0063614D">
                      <w:rPr>
                        <w:rFonts w:ascii="細明體" w:eastAsia="細明體" w:hAnsi="細明體" w:cs="新細明體" w:hint="eastAsia"/>
                        <w:color w:val="3366FF"/>
                        <w:kern w:val="0"/>
                        <w:szCs w:val="24"/>
                        <w:u w:val="single"/>
                        <w:bdr w:val="none" w:sz="0" w:space="0" w:color="auto" w:frame="1"/>
                      </w:rPr>
                      <w:t>第 9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122D1C"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color w:val="FF0000"/>
                      <w:kern w:val="0"/>
                      <w:sz w:val="23"/>
                      <w:szCs w:val="23"/>
                    </w:rPr>
                  </w:pPr>
                  <w:r w:rsidRPr="00122D1C">
                    <w:rPr>
                      <w:rFonts w:ascii="細明體" w:eastAsia="細明體" w:hAnsi="細明體" w:cs="細明體" w:hint="eastAsia"/>
                      <w:color w:val="FF0000"/>
                      <w:kern w:val="0"/>
                      <w:sz w:val="23"/>
                      <w:szCs w:val="23"/>
                    </w:rPr>
                    <w:t>本法施行前所設之高級中等進修學校及夜間部，應於施行後三年內，依本法第六十四條規定，提出轉型計畫書，就學生學習、課程教學、教職員工及學生權益之保障，詳加規劃，並報各該主管機關核定後，轉型為所屬高級中等學校之進修部。</w:t>
                  </w:r>
                </w:p>
                <w:p w:rsidR="0063614D" w:rsidRPr="00122D1C" w:rsidRDefault="0063614D" w:rsidP="0063614D">
                  <w:pPr>
                    <w:widowControl/>
                    <w:rPr>
                      <w:rFonts w:ascii="細明體" w:eastAsia="細明體" w:hAnsi="細明體" w:cs="新細明體"/>
                      <w:color w:val="FF0000"/>
                      <w:kern w:val="0"/>
                      <w:szCs w:val="24"/>
                    </w:rPr>
                  </w:pPr>
                </w:p>
              </w:tc>
            </w:tr>
            <w:tr w:rsidR="0063614D" w:rsidRPr="0063614D">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63614D" w:rsidRPr="0063614D" w:rsidRDefault="00122D1C" w:rsidP="0063614D">
                  <w:pPr>
                    <w:widowControl/>
                    <w:spacing w:line="315" w:lineRule="atLeast"/>
                    <w:rPr>
                      <w:rFonts w:ascii="細明體" w:eastAsia="細明體" w:hAnsi="細明體" w:cs="新細明體"/>
                      <w:kern w:val="0"/>
                      <w:szCs w:val="24"/>
                    </w:rPr>
                  </w:pPr>
                  <w:hyperlink r:id="rId13" w:history="1">
                    <w:r w:rsidR="0063614D" w:rsidRPr="0063614D">
                      <w:rPr>
                        <w:rFonts w:ascii="細明體" w:eastAsia="細明體" w:hAnsi="細明體" w:cs="新細明體" w:hint="eastAsia"/>
                        <w:color w:val="3366FF"/>
                        <w:kern w:val="0"/>
                        <w:szCs w:val="24"/>
                        <w:u w:val="single"/>
                        <w:bdr w:val="none" w:sz="0" w:space="0" w:color="auto" w:frame="1"/>
                      </w:rPr>
                      <w:t>第 10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spacing w:line="315" w:lineRule="atLeast"/>
                    <w:rPr>
                      <w:rFonts w:ascii="細明體" w:eastAsia="細明體" w:hAnsi="細明體" w:cs="新細明體"/>
                      <w:kern w:val="0"/>
                      <w:szCs w:val="24"/>
                    </w:rPr>
                  </w:pPr>
                  <w:r w:rsidRPr="0063614D">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63614D" w:rsidRPr="0063614D" w:rsidRDefault="0063614D" w:rsidP="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63614D">
                    <w:rPr>
                      <w:rFonts w:ascii="細明體" w:eastAsia="細明體" w:hAnsi="細明體" w:cs="細明體" w:hint="eastAsia"/>
                      <w:kern w:val="0"/>
                      <w:sz w:val="23"/>
                      <w:szCs w:val="23"/>
                    </w:rPr>
                    <w:t>本細則自中華民國一百零三年八月一日施行。</w:t>
                  </w:r>
                </w:p>
              </w:tc>
            </w:tr>
          </w:tbl>
          <w:p w:rsidR="0063614D" w:rsidRPr="0063614D" w:rsidRDefault="0063614D" w:rsidP="0063614D">
            <w:pPr>
              <w:widowControl/>
              <w:spacing w:line="315" w:lineRule="atLeast"/>
              <w:jc w:val="center"/>
              <w:rPr>
                <w:rFonts w:ascii="新細明體" w:eastAsia="新細明體" w:hAnsi="新細明體" w:cs="新細明體"/>
                <w:color w:val="000000"/>
                <w:kern w:val="0"/>
                <w:sz w:val="23"/>
                <w:szCs w:val="23"/>
              </w:rPr>
            </w:pPr>
          </w:p>
        </w:tc>
      </w:tr>
    </w:tbl>
    <w:p w:rsidR="0063614D" w:rsidRPr="0063614D" w:rsidRDefault="0063614D">
      <w:bookmarkStart w:id="0" w:name="_GoBack"/>
      <w:bookmarkEnd w:id="0"/>
    </w:p>
    <w:sectPr w:rsidR="0063614D" w:rsidRPr="0063614D" w:rsidSect="0063614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4D"/>
    <w:rsid w:val="00122D1C"/>
    <w:rsid w:val="004A6376"/>
    <w:rsid w:val="0063614D"/>
    <w:rsid w:val="00806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1AD16-DD58-4AB2-8DEF-E856BE87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614D"/>
    <w:rPr>
      <w:color w:val="0000FF"/>
      <w:u w:val="single"/>
    </w:rPr>
  </w:style>
  <w:style w:type="paragraph" w:styleId="HTML">
    <w:name w:val="HTML Preformatted"/>
    <w:basedOn w:val="a"/>
    <w:link w:val="HTML0"/>
    <w:uiPriority w:val="99"/>
    <w:semiHidden/>
    <w:unhideWhenUsed/>
    <w:rsid w:val="0063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3614D"/>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If.aspx?Pcode=H0060050&amp;FLNO=5" TargetMode="External"/><Relationship Id="rId13" Type="http://schemas.openxmlformats.org/officeDocument/2006/relationships/hyperlink" Target="http://law.moj.gov.tw/LawClass/LawSingleIf.aspx?Pcode=H0060050&amp;FLNO=10" TargetMode="External"/><Relationship Id="rId3" Type="http://schemas.openxmlformats.org/officeDocument/2006/relationships/webSettings" Target="webSettings.xml"/><Relationship Id="rId7" Type="http://schemas.openxmlformats.org/officeDocument/2006/relationships/hyperlink" Target="http://law.moj.gov.tw/LawClass/LawSingleIf.aspx?Pcode=H0060050&amp;FLNO=4" TargetMode="External"/><Relationship Id="rId12" Type="http://schemas.openxmlformats.org/officeDocument/2006/relationships/hyperlink" Target="http://law.moj.gov.tw/LawClass/LawSingleIf.aspx?Pcode=H0060050&amp;FLNO=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moj.gov.tw/LawClass/LawSingleIf.aspx?Pcode=H0060050&amp;FLNO=3" TargetMode="External"/><Relationship Id="rId11" Type="http://schemas.openxmlformats.org/officeDocument/2006/relationships/hyperlink" Target="http://law.moj.gov.tw/LawClass/LawSingleIf.aspx?Pcode=H0060050&amp;FLNO=8" TargetMode="External"/><Relationship Id="rId5" Type="http://schemas.openxmlformats.org/officeDocument/2006/relationships/hyperlink" Target="http://law.moj.gov.tw/LawClass/LawSingleIf.aspx?Pcode=H0060050&amp;FLNO=2" TargetMode="External"/><Relationship Id="rId15" Type="http://schemas.openxmlformats.org/officeDocument/2006/relationships/theme" Target="theme/theme1.xml"/><Relationship Id="rId10" Type="http://schemas.openxmlformats.org/officeDocument/2006/relationships/hyperlink" Target="http://law.moj.gov.tw/LawClass/LawSingleIf.aspx?Pcode=H0060050&amp;FLNO=7" TargetMode="External"/><Relationship Id="rId4" Type="http://schemas.openxmlformats.org/officeDocument/2006/relationships/hyperlink" Target="http://law.moj.gov.tw/LawClass/LawSingleIf.aspx?Pcode=H0060050&amp;FLNO=1" TargetMode="External"/><Relationship Id="rId9" Type="http://schemas.openxmlformats.org/officeDocument/2006/relationships/hyperlink" Target="http://law.moj.gov.tw/LawClass/LawSingleIf.aspx?Pcode=H0060050&amp;FLNO=6"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2017-12-12T11:45:00Z</dcterms:created>
  <dcterms:modified xsi:type="dcterms:W3CDTF">2017-12-12T11:50:00Z</dcterms:modified>
</cp:coreProperties>
</file>